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58516F" w14:textId="77777777" w:rsidR="00BB3A3F" w:rsidRDefault="00BB3A3F" w:rsidP="00D17B68">
      <w:pPr>
        <w:spacing w:before="100" w:after="280" w:line="240" w:lineRule="auto"/>
        <w:jc w:val="center"/>
        <w:rPr>
          <w:rFonts w:ascii="Times New Roman" w:eastAsia="Times New Roman" w:hAnsi="Times New Roman" w:cs="Times New Roman"/>
          <w:b/>
          <w:color w:val="9900FF"/>
          <w:sz w:val="28"/>
          <w:szCs w:val="28"/>
        </w:rPr>
      </w:pPr>
    </w:p>
    <w:p w14:paraId="2A575235" w14:textId="77777777" w:rsidR="00F972BA" w:rsidRDefault="00F972BA" w:rsidP="00D17B68">
      <w:pPr>
        <w:spacing w:before="100" w:after="280" w:line="240" w:lineRule="auto"/>
        <w:jc w:val="center"/>
        <w:rPr>
          <w:rFonts w:ascii="Times New Roman" w:eastAsia="Times New Roman" w:hAnsi="Times New Roman" w:cs="Times New Roman"/>
          <w:b/>
          <w:color w:val="9900FF"/>
          <w:sz w:val="28"/>
          <w:szCs w:val="28"/>
        </w:rPr>
      </w:pPr>
    </w:p>
    <w:p w14:paraId="397F523B" w14:textId="3A4AD54D" w:rsidR="00D17B68" w:rsidRDefault="00D17B68" w:rsidP="00D17B68">
      <w:pPr>
        <w:spacing w:before="100" w:after="280" w:line="240" w:lineRule="auto"/>
        <w:jc w:val="center"/>
        <w:rPr>
          <w:rFonts w:ascii="Times New Roman" w:eastAsia="Times New Roman" w:hAnsi="Times New Roman" w:cs="Times New Roman"/>
          <w:b/>
          <w:color w:val="9900FF"/>
          <w:sz w:val="28"/>
          <w:szCs w:val="28"/>
        </w:rPr>
      </w:pPr>
      <w:r w:rsidRPr="00D17B68">
        <w:rPr>
          <w:rFonts w:ascii="Times New Roman" w:eastAsia="Times New Roman" w:hAnsi="Times New Roman" w:cs="Times New Roman"/>
          <w:b/>
          <w:noProof/>
          <w:color w:val="9900FF"/>
          <w:sz w:val="28"/>
          <w:szCs w:val="28"/>
        </w:rPr>
        <w:drawing>
          <wp:anchor distT="0" distB="0" distL="114300" distR="114300" simplePos="0" relativeHeight="251660288" behindDoc="0" locked="0" layoutInCell="1" allowOverlap="1" wp14:anchorId="3C955189" wp14:editId="2716C829">
            <wp:simplePos x="0" y="0"/>
            <wp:positionH relativeFrom="column">
              <wp:posOffset>1906270</wp:posOffset>
            </wp:positionH>
            <wp:positionV relativeFrom="paragraph">
              <wp:posOffset>-500708</wp:posOffset>
            </wp:positionV>
            <wp:extent cx="1962209" cy="795490"/>
            <wp:effectExtent l="0" t="0" r="0" b="5080"/>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8">
                      <a:extLst>
                        <a:ext uri="{28A0092B-C50C-407E-A947-70E740481C1C}">
                          <a14:useLocalDpi xmlns:a14="http://schemas.microsoft.com/office/drawing/2010/main" val="0"/>
                        </a:ext>
                      </a:extLst>
                    </a:blip>
                    <a:srcRect l="15017" t="44146" r="14347" b="3028"/>
                    <a:stretch/>
                  </pic:blipFill>
                  <pic:spPr>
                    <a:xfrm>
                      <a:off x="0" y="0"/>
                      <a:ext cx="1962209" cy="795490"/>
                    </a:xfrm>
                    <a:prstGeom prst="roundRect">
                      <a:avLst/>
                    </a:prstGeom>
                  </pic:spPr>
                </pic:pic>
              </a:graphicData>
            </a:graphic>
          </wp:anchor>
        </w:drawing>
      </w:r>
    </w:p>
    <w:p w14:paraId="249AC943" w14:textId="77777777" w:rsidR="00BB3A3F" w:rsidRDefault="00BB3A3F" w:rsidP="00A966D4">
      <w:pPr>
        <w:spacing w:before="100" w:after="280" w:line="240" w:lineRule="auto"/>
        <w:jc w:val="center"/>
        <w:rPr>
          <w:rFonts w:asciiTheme="majorHAnsi" w:eastAsia="Times New Roman" w:hAnsiTheme="majorHAnsi" w:cstheme="majorHAnsi"/>
          <w:b/>
          <w:color w:val="3171D2"/>
          <w:sz w:val="40"/>
          <w:szCs w:val="28"/>
        </w:rPr>
      </w:pPr>
    </w:p>
    <w:p w14:paraId="49748142" w14:textId="4E945A99" w:rsidR="00882764" w:rsidRDefault="00D17B68" w:rsidP="00A966D4">
      <w:pPr>
        <w:spacing w:before="100" w:after="280" w:line="240" w:lineRule="auto"/>
        <w:jc w:val="center"/>
        <w:rPr>
          <w:rFonts w:asciiTheme="majorHAnsi" w:eastAsia="Times New Roman" w:hAnsiTheme="majorHAnsi" w:cstheme="majorHAnsi"/>
          <w:b/>
          <w:color w:val="3171D2"/>
          <w:sz w:val="40"/>
          <w:szCs w:val="28"/>
        </w:rPr>
      </w:pPr>
      <w:r w:rsidRPr="00A966D4">
        <w:rPr>
          <w:rFonts w:asciiTheme="majorHAnsi" w:eastAsia="Times New Roman" w:hAnsiTheme="majorHAnsi" w:cstheme="majorHAnsi"/>
          <w:b/>
          <w:color w:val="3171D2"/>
          <w:sz w:val="40"/>
          <w:szCs w:val="28"/>
        </w:rPr>
        <w:t>Premier</w:t>
      </w:r>
      <w:r w:rsidR="00313DCB" w:rsidRPr="00A966D4">
        <w:rPr>
          <w:rFonts w:asciiTheme="majorHAnsi" w:eastAsia="Times New Roman" w:hAnsiTheme="majorHAnsi" w:cstheme="majorHAnsi"/>
          <w:b/>
          <w:color w:val="3171D2"/>
          <w:sz w:val="40"/>
          <w:szCs w:val="28"/>
        </w:rPr>
        <w:t xml:space="preserve"> pas </w:t>
      </w:r>
      <w:r w:rsidR="00703376" w:rsidRPr="00A966D4">
        <w:rPr>
          <w:rFonts w:asciiTheme="majorHAnsi" w:eastAsia="Times New Roman" w:hAnsiTheme="majorHAnsi" w:cstheme="majorHAnsi"/>
          <w:b/>
          <w:color w:val="3171D2"/>
          <w:sz w:val="40"/>
          <w:szCs w:val="28"/>
        </w:rPr>
        <w:t xml:space="preserve">vers </w:t>
      </w:r>
      <w:r w:rsidR="00313DCB" w:rsidRPr="00A966D4">
        <w:rPr>
          <w:rFonts w:asciiTheme="majorHAnsi" w:eastAsia="Times New Roman" w:hAnsiTheme="majorHAnsi" w:cstheme="majorHAnsi"/>
          <w:b/>
          <w:color w:val="3171D2"/>
          <w:sz w:val="40"/>
          <w:szCs w:val="28"/>
        </w:rPr>
        <w:t xml:space="preserve">une écologie industrielle et territoriale </w:t>
      </w:r>
      <w:r w:rsidR="00703376" w:rsidRPr="00A966D4">
        <w:rPr>
          <w:rFonts w:asciiTheme="majorHAnsi" w:eastAsia="Times New Roman" w:hAnsiTheme="majorHAnsi" w:cstheme="majorHAnsi"/>
          <w:b/>
          <w:color w:val="3171D2"/>
          <w:sz w:val="40"/>
          <w:szCs w:val="28"/>
        </w:rPr>
        <w:t>à la hauteur des enjeux de durabilité</w:t>
      </w:r>
    </w:p>
    <w:p w14:paraId="6C38D455" w14:textId="77777777" w:rsidR="00BB3A3F" w:rsidRPr="00A966D4" w:rsidRDefault="00BB3A3F" w:rsidP="00A966D4">
      <w:pPr>
        <w:spacing w:before="100" w:after="280" w:line="240" w:lineRule="auto"/>
        <w:jc w:val="center"/>
        <w:rPr>
          <w:rFonts w:asciiTheme="majorHAnsi" w:hAnsiTheme="majorHAnsi" w:cstheme="majorHAnsi"/>
          <w:color w:val="3171D2"/>
          <w:sz w:val="32"/>
        </w:rPr>
      </w:pPr>
    </w:p>
    <w:p w14:paraId="158F8CF5" w14:textId="23010B82" w:rsidR="00882764" w:rsidRPr="00A966D4" w:rsidRDefault="00313DCB">
      <w:pPr>
        <w:spacing w:after="280" w:line="240" w:lineRule="auto"/>
        <w:jc w:val="both"/>
        <w:rPr>
          <w:rFonts w:asciiTheme="minorHAnsi" w:hAnsiTheme="minorHAnsi" w:cstheme="minorHAnsi"/>
          <w:sz w:val="20"/>
        </w:rPr>
      </w:pPr>
      <w:r w:rsidRPr="00A966D4">
        <w:rPr>
          <w:rFonts w:asciiTheme="minorHAnsi" w:eastAsia="Times New Roman" w:hAnsiTheme="minorHAnsi" w:cstheme="minorHAnsi"/>
          <w:szCs w:val="24"/>
        </w:rPr>
        <w:t xml:space="preserve">Fruit de deux ans de co-construction </w:t>
      </w:r>
      <w:r w:rsidR="00BB3A3F">
        <w:rPr>
          <w:rFonts w:asciiTheme="minorHAnsi" w:eastAsia="Times New Roman" w:hAnsiTheme="minorHAnsi" w:cstheme="minorHAnsi"/>
          <w:szCs w:val="24"/>
        </w:rPr>
        <w:t>coordonné</w:t>
      </w:r>
      <w:r w:rsidR="00873771">
        <w:rPr>
          <w:rFonts w:asciiTheme="minorHAnsi" w:eastAsia="Times New Roman" w:hAnsiTheme="minorHAnsi" w:cstheme="minorHAnsi"/>
          <w:szCs w:val="24"/>
        </w:rPr>
        <w:t>e</w:t>
      </w:r>
      <w:r w:rsidR="00BB3A3F">
        <w:rPr>
          <w:rFonts w:asciiTheme="minorHAnsi" w:eastAsia="Times New Roman" w:hAnsiTheme="minorHAnsi" w:cstheme="minorHAnsi"/>
          <w:szCs w:val="24"/>
        </w:rPr>
        <w:t xml:space="preserve"> par ORÉE, grâce au soutien financier de l’ADEME et du CGDD, </w:t>
      </w:r>
      <w:r w:rsidRPr="00A966D4">
        <w:rPr>
          <w:rFonts w:asciiTheme="minorHAnsi" w:eastAsia="Times New Roman" w:hAnsiTheme="minorHAnsi" w:cstheme="minorHAnsi"/>
          <w:szCs w:val="24"/>
        </w:rPr>
        <w:t>entre universitaires</w:t>
      </w:r>
      <w:r w:rsidR="00BB3A3F">
        <w:rPr>
          <w:rFonts w:asciiTheme="minorHAnsi" w:eastAsia="Times New Roman" w:hAnsiTheme="minorHAnsi" w:cstheme="minorHAnsi"/>
          <w:szCs w:val="24"/>
        </w:rPr>
        <w:t xml:space="preserve"> (Université Grenoble Alpes, Université de Lyon et Université de Technologie de Troyes), experts (</w:t>
      </w:r>
      <w:proofErr w:type="spellStart"/>
      <w:r w:rsidR="00BB3A3F">
        <w:rPr>
          <w:rFonts w:asciiTheme="minorHAnsi" w:eastAsia="Times New Roman" w:hAnsiTheme="minorHAnsi" w:cstheme="minorHAnsi"/>
          <w:szCs w:val="24"/>
        </w:rPr>
        <w:t>Auxilia</w:t>
      </w:r>
      <w:proofErr w:type="spellEnd"/>
      <w:r w:rsidR="00BB3A3F">
        <w:rPr>
          <w:rFonts w:asciiTheme="minorHAnsi" w:eastAsia="Times New Roman" w:hAnsiTheme="minorHAnsi" w:cstheme="minorHAnsi"/>
          <w:szCs w:val="24"/>
        </w:rPr>
        <w:t xml:space="preserve">, </w:t>
      </w:r>
      <w:proofErr w:type="spellStart"/>
      <w:r w:rsidR="00BB3A3F">
        <w:rPr>
          <w:rFonts w:asciiTheme="minorHAnsi" w:eastAsia="Times New Roman" w:hAnsiTheme="minorHAnsi" w:cstheme="minorHAnsi"/>
          <w:szCs w:val="24"/>
        </w:rPr>
        <w:t>EcoRes</w:t>
      </w:r>
      <w:proofErr w:type="spellEnd"/>
      <w:r w:rsidR="00BB3A3F">
        <w:rPr>
          <w:rFonts w:asciiTheme="minorHAnsi" w:eastAsia="Times New Roman" w:hAnsiTheme="minorHAnsi" w:cstheme="minorHAnsi"/>
          <w:szCs w:val="24"/>
        </w:rPr>
        <w:t xml:space="preserve">, </w:t>
      </w:r>
      <w:proofErr w:type="spellStart"/>
      <w:r w:rsidR="00BB3A3F">
        <w:rPr>
          <w:rFonts w:asciiTheme="minorHAnsi" w:eastAsia="Times New Roman" w:hAnsiTheme="minorHAnsi" w:cstheme="minorHAnsi"/>
          <w:szCs w:val="24"/>
        </w:rPr>
        <w:t>Inddigo</w:t>
      </w:r>
      <w:proofErr w:type="spellEnd"/>
      <w:r w:rsidR="00BB3A3F">
        <w:rPr>
          <w:rFonts w:asciiTheme="minorHAnsi" w:eastAsia="Times New Roman" w:hAnsiTheme="minorHAnsi" w:cstheme="minorHAnsi"/>
          <w:szCs w:val="24"/>
        </w:rPr>
        <w:t>)</w:t>
      </w:r>
      <w:r w:rsidRPr="00A966D4">
        <w:rPr>
          <w:rFonts w:asciiTheme="minorHAnsi" w:eastAsia="Times New Roman" w:hAnsiTheme="minorHAnsi" w:cstheme="minorHAnsi"/>
          <w:szCs w:val="24"/>
        </w:rPr>
        <w:t xml:space="preserve"> et acteurs de terrain</w:t>
      </w:r>
      <w:r w:rsidR="00BB3A3F">
        <w:rPr>
          <w:rFonts w:asciiTheme="minorHAnsi" w:eastAsia="Times New Roman" w:hAnsiTheme="minorHAnsi" w:cstheme="minorHAnsi"/>
          <w:szCs w:val="24"/>
        </w:rPr>
        <w:t xml:space="preserve"> (</w:t>
      </w:r>
      <w:r w:rsidR="00BB3A3F">
        <w:t>porteurs de projets, conseils régionaux et départementaux, entreprises, services déconcentrés de l'Etat, CCI, associations…)</w:t>
      </w:r>
      <w:r w:rsidRPr="00A966D4">
        <w:rPr>
          <w:rFonts w:asciiTheme="minorHAnsi" w:eastAsia="Times New Roman" w:hAnsiTheme="minorHAnsi" w:cstheme="minorHAnsi"/>
          <w:szCs w:val="24"/>
        </w:rPr>
        <w:t>, le Référentiel ELIPSE (</w:t>
      </w:r>
      <w:proofErr w:type="spellStart"/>
      <w:r w:rsidRPr="00A966D4">
        <w:rPr>
          <w:rFonts w:asciiTheme="minorHAnsi" w:eastAsia="Times New Roman" w:hAnsiTheme="minorHAnsi" w:cstheme="minorHAnsi"/>
          <w:szCs w:val="24"/>
        </w:rPr>
        <w:t>EvaLuatIon</w:t>
      </w:r>
      <w:proofErr w:type="spellEnd"/>
      <w:r w:rsidRPr="00A966D4">
        <w:rPr>
          <w:rFonts w:asciiTheme="minorHAnsi" w:eastAsia="Times New Roman" w:hAnsiTheme="minorHAnsi" w:cstheme="minorHAnsi"/>
          <w:szCs w:val="24"/>
        </w:rPr>
        <w:t xml:space="preserve"> des </w:t>
      </w:r>
      <w:proofErr w:type="spellStart"/>
      <w:r w:rsidRPr="00A966D4">
        <w:rPr>
          <w:rFonts w:asciiTheme="minorHAnsi" w:eastAsia="Times New Roman" w:hAnsiTheme="minorHAnsi" w:cstheme="minorHAnsi"/>
          <w:szCs w:val="24"/>
        </w:rPr>
        <w:t>PerformanceS</w:t>
      </w:r>
      <w:proofErr w:type="spellEnd"/>
      <w:r w:rsidRPr="00A966D4">
        <w:rPr>
          <w:rFonts w:asciiTheme="minorHAnsi" w:eastAsia="Times New Roman" w:hAnsiTheme="minorHAnsi" w:cstheme="minorHAnsi"/>
          <w:szCs w:val="24"/>
        </w:rPr>
        <w:t xml:space="preserve"> des démarches d’Ecologie industrielle et territoriale) a pour objectif de fournir </w:t>
      </w:r>
      <w:r w:rsidRPr="00A966D4">
        <w:rPr>
          <w:rFonts w:asciiTheme="minorHAnsi" w:eastAsia="Times New Roman" w:hAnsiTheme="minorHAnsi" w:cstheme="minorHAnsi"/>
          <w:b/>
          <w:color w:val="3171D2"/>
          <w:szCs w:val="24"/>
        </w:rPr>
        <w:t>un cadre commun pour l'auto-évaluation des démarches d’écologie industrielle et territoriale (EIT) et leur suivi par les acteurs qui les soutiennent</w:t>
      </w:r>
      <w:r w:rsidRPr="00A966D4">
        <w:rPr>
          <w:rFonts w:asciiTheme="minorHAnsi" w:eastAsia="Times New Roman" w:hAnsiTheme="minorHAnsi" w:cstheme="minorHAnsi"/>
          <w:szCs w:val="24"/>
        </w:rPr>
        <w:t>. C'est aussi un outil de promotion des différentes initiatives au niveau national. Fondé sur un</w:t>
      </w:r>
      <w:r w:rsidR="002E6117" w:rsidRPr="00A966D4">
        <w:rPr>
          <w:rFonts w:asciiTheme="minorHAnsi" w:eastAsia="Times New Roman" w:hAnsiTheme="minorHAnsi" w:cstheme="minorHAnsi"/>
          <w:szCs w:val="24"/>
        </w:rPr>
        <w:t>e approche</w:t>
      </w:r>
      <w:r w:rsidRPr="00A966D4">
        <w:rPr>
          <w:rFonts w:asciiTheme="minorHAnsi" w:eastAsia="Times New Roman" w:hAnsiTheme="minorHAnsi" w:cstheme="minorHAnsi"/>
          <w:szCs w:val="24"/>
        </w:rPr>
        <w:t xml:space="preserve"> volontaire des acteurs, l’outil </w:t>
      </w:r>
      <w:r w:rsidR="002E6117" w:rsidRPr="00A966D4">
        <w:rPr>
          <w:rFonts w:asciiTheme="minorHAnsi" w:eastAsia="Times New Roman" w:hAnsiTheme="minorHAnsi" w:cstheme="minorHAnsi"/>
          <w:szCs w:val="24"/>
        </w:rPr>
        <w:t>permet de m</w:t>
      </w:r>
      <w:r w:rsidR="00A966D4">
        <w:rPr>
          <w:rFonts w:asciiTheme="minorHAnsi" w:eastAsia="Times New Roman" w:hAnsiTheme="minorHAnsi" w:cstheme="minorHAnsi"/>
          <w:szCs w:val="24"/>
        </w:rPr>
        <w:t>esurer</w:t>
      </w:r>
      <w:r w:rsidR="002E6117" w:rsidRPr="00A966D4">
        <w:rPr>
          <w:rFonts w:asciiTheme="minorHAnsi" w:eastAsia="Times New Roman" w:hAnsiTheme="minorHAnsi" w:cstheme="minorHAnsi"/>
          <w:szCs w:val="24"/>
        </w:rPr>
        <w:t xml:space="preserve"> le</w:t>
      </w:r>
      <w:r w:rsidRPr="00A966D4">
        <w:rPr>
          <w:rFonts w:asciiTheme="minorHAnsi" w:eastAsia="Times New Roman" w:hAnsiTheme="minorHAnsi" w:cstheme="minorHAnsi"/>
          <w:szCs w:val="24"/>
        </w:rPr>
        <w:t xml:space="preserve"> degré de maturité</w:t>
      </w:r>
      <w:r w:rsidR="002E6117" w:rsidRPr="00A966D4">
        <w:rPr>
          <w:rFonts w:asciiTheme="minorHAnsi" w:eastAsia="Times New Roman" w:hAnsiTheme="minorHAnsi" w:cstheme="minorHAnsi"/>
          <w:szCs w:val="24"/>
        </w:rPr>
        <w:t xml:space="preserve"> des démarches</w:t>
      </w:r>
      <w:r w:rsidRPr="00A966D4">
        <w:rPr>
          <w:rFonts w:asciiTheme="minorHAnsi" w:eastAsia="Times New Roman" w:hAnsiTheme="minorHAnsi" w:cstheme="minorHAnsi"/>
          <w:szCs w:val="24"/>
        </w:rPr>
        <w:t xml:space="preserve">. </w:t>
      </w:r>
      <w:r w:rsidR="00BB3A3F">
        <w:rPr>
          <w:rFonts w:asciiTheme="minorHAnsi" w:eastAsia="Times New Roman" w:hAnsiTheme="minorHAnsi" w:cstheme="minorHAnsi"/>
          <w:szCs w:val="24"/>
        </w:rPr>
        <w:t xml:space="preserve">Il englobe </w:t>
      </w:r>
      <w:r w:rsidRPr="00A966D4">
        <w:rPr>
          <w:rFonts w:asciiTheme="minorHAnsi" w:eastAsia="Times New Roman" w:hAnsiTheme="minorHAnsi" w:cstheme="minorHAnsi"/>
          <w:szCs w:val="24"/>
        </w:rPr>
        <w:t xml:space="preserve">deux périmètres complémentaires </w:t>
      </w:r>
      <w:r w:rsidR="00BB3A3F" w:rsidRPr="00BB3A3F">
        <w:t xml:space="preserve"> </w:t>
      </w:r>
      <w:r w:rsidR="00BB3A3F">
        <w:t xml:space="preserve">correspondant à deux formes d’action collective </w:t>
      </w:r>
      <w:r w:rsidRPr="00A966D4">
        <w:rPr>
          <w:rFonts w:asciiTheme="minorHAnsi" w:eastAsia="Times New Roman" w:hAnsiTheme="minorHAnsi" w:cstheme="minorHAnsi"/>
          <w:szCs w:val="24"/>
        </w:rPr>
        <w:t xml:space="preserve">: </w:t>
      </w:r>
      <w:r w:rsidR="00BB3A3F">
        <w:rPr>
          <w:rFonts w:asciiTheme="minorHAnsi" w:eastAsia="Times New Roman" w:hAnsiTheme="minorHAnsi" w:cstheme="minorHAnsi"/>
          <w:szCs w:val="24"/>
        </w:rPr>
        <w:t>le</w:t>
      </w:r>
      <w:r w:rsidRPr="00A966D4">
        <w:rPr>
          <w:rFonts w:asciiTheme="minorHAnsi" w:eastAsia="Times New Roman" w:hAnsiTheme="minorHAnsi" w:cstheme="minorHAnsi"/>
          <w:szCs w:val="24"/>
        </w:rPr>
        <w:t xml:space="preserve"> réseau d’entreprises dont on mesure les bénéfices économiques et environnementaux liés à la mise en </w:t>
      </w:r>
      <w:r w:rsidR="00BB3A3F" w:rsidRPr="00A966D4">
        <w:rPr>
          <w:rFonts w:asciiTheme="minorHAnsi" w:eastAsia="Times New Roman" w:hAnsiTheme="minorHAnsi" w:cstheme="minorHAnsi"/>
          <w:szCs w:val="24"/>
        </w:rPr>
        <w:t>œuvre</w:t>
      </w:r>
      <w:r w:rsidRPr="00A966D4">
        <w:rPr>
          <w:rFonts w:asciiTheme="minorHAnsi" w:eastAsia="Times New Roman" w:hAnsiTheme="minorHAnsi" w:cstheme="minorHAnsi"/>
          <w:szCs w:val="24"/>
        </w:rPr>
        <w:t xml:space="preserve"> de synergies, et </w:t>
      </w:r>
      <w:r w:rsidR="00BB3A3F">
        <w:rPr>
          <w:rFonts w:asciiTheme="minorHAnsi" w:eastAsia="Times New Roman" w:hAnsiTheme="minorHAnsi" w:cstheme="minorHAnsi"/>
          <w:szCs w:val="24"/>
        </w:rPr>
        <w:t>le</w:t>
      </w:r>
      <w:r w:rsidRPr="00A966D4">
        <w:rPr>
          <w:rFonts w:asciiTheme="minorHAnsi" w:eastAsia="Times New Roman" w:hAnsiTheme="minorHAnsi" w:cstheme="minorHAnsi"/>
          <w:szCs w:val="24"/>
        </w:rPr>
        <w:t xml:space="preserve"> territoire dont on mesure les retombées en termes de mobilisation des acteurs locaux, de création de richesses, et de durabilité. Le référentiel n’entend pas fournir une grille d'évaluation standardisée mais a pour vocation de s’adapter aux spécificités et à la maturité des projets en offrant à l’utilisateur une palette d’indicateurs traduisant la vision la plus complète possible d’une démarche d’EIT. </w:t>
      </w:r>
      <w:r w:rsidRPr="00A966D4">
        <w:rPr>
          <w:rFonts w:asciiTheme="minorHAnsi" w:eastAsia="Times New Roman" w:hAnsiTheme="minorHAnsi" w:cstheme="minorHAnsi"/>
          <w:b/>
          <w:color w:val="3171D2"/>
          <w:szCs w:val="24"/>
        </w:rPr>
        <w:t xml:space="preserve">II peut donc être mis en </w:t>
      </w:r>
      <w:proofErr w:type="spellStart"/>
      <w:r w:rsidRPr="00A966D4">
        <w:rPr>
          <w:rFonts w:asciiTheme="minorHAnsi" w:eastAsia="Times New Roman" w:hAnsiTheme="minorHAnsi" w:cstheme="minorHAnsi"/>
          <w:b/>
          <w:color w:val="3171D2"/>
          <w:szCs w:val="24"/>
        </w:rPr>
        <w:t>oeuvre</w:t>
      </w:r>
      <w:proofErr w:type="spellEnd"/>
      <w:r w:rsidRPr="00A966D4">
        <w:rPr>
          <w:rFonts w:asciiTheme="minorHAnsi" w:eastAsia="Times New Roman" w:hAnsiTheme="minorHAnsi" w:cstheme="minorHAnsi"/>
          <w:b/>
          <w:color w:val="3171D2"/>
          <w:szCs w:val="24"/>
        </w:rPr>
        <w:t xml:space="preserve"> sur tout type de territoire à tout niveau de maturité dans une logique d’amélioration continue</w:t>
      </w:r>
      <w:r w:rsidRPr="00A966D4">
        <w:rPr>
          <w:rFonts w:asciiTheme="minorHAnsi" w:eastAsia="Times New Roman" w:hAnsiTheme="minorHAnsi" w:cstheme="minorHAnsi"/>
          <w:szCs w:val="24"/>
        </w:rPr>
        <w:t>.</w:t>
      </w:r>
    </w:p>
    <w:p w14:paraId="7FCC4AA9" w14:textId="4F4ED1D6" w:rsidR="00BB3A3F" w:rsidRDefault="00BB3A3F">
      <w:pPr>
        <w:spacing w:after="280" w:line="240" w:lineRule="auto"/>
        <w:jc w:val="both"/>
        <w:rPr>
          <w:rFonts w:asciiTheme="minorHAnsi" w:eastAsia="Times New Roman" w:hAnsiTheme="minorHAnsi" w:cstheme="minorHAnsi"/>
          <w:szCs w:val="24"/>
        </w:rPr>
      </w:pPr>
      <w:r>
        <w:rPr>
          <w:rFonts w:asciiTheme="minorHAnsi" w:eastAsia="Times New Roman" w:hAnsiTheme="minorHAnsi" w:cstheme="minorHAnsi"/>
          <w:noProof/>
          <w:szCs w:val="24"/>
        </w:rPr>
        <w:t>Le Référentiel ELIPSE ambitionne</w:t>
      </w:r>
      <w:r w:rsidR="00313DCB" w:rsidRPr="00A966D4">
        <w:rPr>
          <w:rFonts w:asciiTheme="minorHAnsi" w:eastAsia="Times New Roman" w:hAnsiTheme="minorHAnsi" w:cstheme="minorHAnsi"/>
          <w:szCs w:val="24"/>
        </w:rPr>
        <w:t xml:space="preserve"> d’</w:t>
      </w:r>
      <w:r w:rsidR="00313DCB" w:rsidRPr="00A966D4">
        <w:rPr>
          <w:rFonts w:asciiTheme="minorHAnsi" w:eastAsia="Times New Roman" w:hAnsiTheme="minorHAnsi" w:cstheme="minorHAnsi"/>
          <w:b/>
          <w:color w:val="3171D2"/>
          <w:szCs w:val="24"/>
        </w:rPr>
        <w:t xml:space="preserve">intégrer la dimension de durabilité (prérequis des démarches d'EIT) dans sa conception </w:t>
      </w:r>
      <w:r w:rsidR="00636613" w:rsidRPr="00A966D4">
        <w:rPr>
          <w:rFonts w:asciiTheme="minorHAnsi" w:eastAsia="Times New Roman" w:hAnsiTheme="minorHAnsi" w:cstheme="minorHAnsi"/>
          <w:b/>
          <w:color w:val="3171D2"/>
          <w:szCs w:val="24"/>
        </w:rPr>
        <w:t xml:space="preserve">dite </w:t>
      </w:r>
      <w:r w:rsidR="00313DCB" w:rsidRPr="00A966D4">
        <w:rPr>
          <w:rFonts w:asciiTheme="minorHAnsi" w:eastAsia="Times New Roman" w:hAnsiTheme="minorHAnsi" w:cstheme="minorHAnsi"/>
          <w:b/>
          <w:color w:val="3171D2"/>
          <w:szCs w:val="24"/>
        </w:rPr>
        <w:t>forte</w:t>
      </w:r>
      <w:r w:rsidR="00313DCB" w:rsidRPr="00E8160A">
        <w:rPr>
          <w:rStyle w:val="Appelnotedebasdep"/>
          <w:rFonts w:asciiTheme="minorHAnsi" w:eastAsia="Times New Roman" w:hAnsiTheme="minorHAnsi" w:cstheme="minorHAnsi"/>
          <w:color w:val="3171D2"/>
          <w:szCs w:val="24"/>
        </w:rPr>
        <w:footnoteReference w:id="1"/>
      </w:r>
      <w:r w:rsidR="00313DCB" w:rsidRPr="00A966D4">
        <w:rPr>
          <w:rFonts w:asciiTheme="minorHAnsi" w:eastAsia="Times New Roman" w:hAnsiTheme="minorHAnsi" w:cstheme="minorHAnsi"/>
          <w:szCs w:val="24"/>
        </w:rPr>
        <w:t>, le Référentiel ELIPSE s’appuie sur deux lignes directrices majeures : d’une part</w:t>
      </w:r>
      <w:r>
        <w:rPr>
          <w:rFonts w:asciiTheme="minorHAnsi" w:eastAsia="Times New Roman" w:hAnsiTheme="minorHAnsi" w:cstheme="minorHAnsi"/>
          <w:szCs w:val="24"/>
        </w:rPr>
        <w:t>, il promeut</w:t>
      </w:r>
      <w:r w:rsidR="00313DCB" w:rsidRPr="00A966D4">
        <w:rPr>
          <w:rFonts w:asciiTheme="minorHAnsi" w:eastAsia="Times New Roman" w:hAnsiTheme="minorHAnsi" w:cstheme="minorHAnsi"/>
          <w:szCs w:val="24"/>
        </w:rPr>
        <w:t xml:space="preserve"> la collaboration des acteurs autour d’un projet commun qui leur </w:t>
      </w:r>
      <w:r w:rsidR="00607453" w:rsidRPr="00A966D4">
        <w:rPr>
          <w:rFonts w:asciiTheme="minorHAnsi" w:eastAsia="Times New Roman" w:hAnsiTheme="minorHAnsi" w:cstheme="minorHAnsi"/>
          <w:szCs w:val="24"/>
        </w:rPr>
        <w:t xml:space="preserve">est </w:t>
      </w:r>
      <w:r w:rsidR="00313DCB" w:rsidRPr="00A966D4">
        <w:rPr>
          <w:rFonts w:asciiTheme="minorHAnsi" w:eastAsia="Times New Roman" w:hAnsiTheme="minorHAnsi" w:cstheme="minorHAnsi"/>
          <w:szCs w:val="24"/>
        </w:rPr>
        <w:lastRenderedPageBreak/>
        <w:t>propre et</w:t>
      </w:r>
      <w:r>
        <w:rPr>
          <w:rFonts w:asciiTheme="minorHAnsi" w:eastAsia="Times New Roman" w:hAnsiTheme="minorHAnsi" w:cstheme="minorHAnsi"/>
          <w:szCs w:val="24"/>
        </w:rPr>
        <w:t xml:space="preserve">, </w:t>
      </w:r>
      <w:r w:rsidR="00313DCB" w:rsidRPr="00A966D4">
        <w:rPr>
          <w:rFonts w:asciiTheme="minorHAnsi" w:eastAsia="Times New Roman" w:hAnsiTheme="minorHAnsi" w:cstheme="minorHAnsi"/>
          <w:szCs w:val="24"/>
        </w:rPr>
        <w:t xml:space="preserve">d’autre part, </w:t>
      </w:r>
      <w:r>
        <w:rPr>
          <w:rFonts w:asciiTheme="minorHAnsi" w:eastAsia="Times New Roman" w:hAnsiTheme="minorHAnsi" w:cstheme="minorHAnsi"/>
          <w:szCs w:val="24"/>
        </w:rPr>
        <w:t xml:space="preserve">il </w:t>
      </w:r>
      <w:r w:rsidR="00313DCB" w:rsidRPr="00A966D4">
        <w:rPr>
          <w:rFonts w:asciiTheme="minorHAnsi" w:eastAsia="Times New Roman" w:hAnsiTheme="minorHAnsi" w:cstheme="minorHAnsi"/>
          <w:szCs w:val="24"/>
        </w:rPr>
        <w:t xml:space="preserve">répond à des problématiques d’entreprises tout en servant </w:t>
      </w:r>
      <w:r>
        <w:rPr>
          <w:rFonts w:asciiTheme="minorHAnsi" w:eastAsia="Times New Roman" w:hAnsiTheme="minorHAnsi" w:cstheme="minorHAnsi"/>
          <w:szCs w:val="24"/>
        </w:rPr>
        <w:t>le territoire et ses habitants.</w:t>
      </w:r>
    </w:p>
    <w:p w14:paraId="432473F6" w14:textId="2DB89903" w:rsidR="00BB3A3F" w:rsidRDefault="00313DCB" w:rsidP="00E8160A">
      <w:pPr>
        <w:spacing w:after="0" w:line="240" w:lineRule="auto"/>
        <w:jc w:val="both"/>
        <w:rPr>
          <w:rFonts w:asciiTheme="minorHAnsi" w:eastAsia="Times New Roman" w:hAnsiTheme="minorHAnsi" w:cstheme="minorHAnsi"/>
          <w:noProof/>
          <w:szCs w:val="24"/>
        </w:rPr>
      </w:pPr>
      <w:r w:rsidRPr="00A966D4">
        <w:rPr>
          <w:rFonts w:asciiTheme="minorHAnsi" w:eastAsia="Times New Roman" w:hAnsiTheme="minorHAnsi" w:cstheme="minorHAnsi"/>
          <w:szCs w:val="24"/>
        </w:rPr>
        <w:t>Il repose par ailleurs su</w:t>
      </w:r>
      <w:r w:rsidR="00160446">
        <w:rPr>
          <w:rFonts w:asciiTheme="minorHAnsi" w:eastAsia="Times New Roman" w:hAnsiTheme="minorHAnsi" w:cstheme="minorHAnsi"/>
          <w:szCs w:val="24"/>
        </w:rPr>
        <w:t>r les trois enjeux suivants : la gouvernance, le modèle économique et les activités et résultats</w:t>
      </w:r>
      <w:r w:rsidRPr="00A966D4">
        <w:rPr>
          <w:rFonts w:asciiTheme="minorHAnsi" w:eastAsia="Times New Roman" w:hAnsiTheme="minorHAnsi" w:cstheme="minorHAnsi"/>
          <w:szCs w:val="24"/>
        </w:rPr>
        <w:t>. Ces trois dimensions structurantes sont déclinées en “objectifs” qu’une démarche doit chercher à atteindre pour s’inscrire dans une dynami</w:t>
      </w:r>
      <w:r w:rsidR="00A966D4">
        <w:rPr>
          <w:rFonts w:asciiTheme="minorHAnsi" w:eastAsia="Times New Roman" w:hAnsiTheme="minorHAnsi" w:cstheme="minorHAnsi"/>
          <w:szCs w:val="24"/>
        </w:rPr>
        <w:t>que de succès et de durabilité.</w:t>
      </w:r>
      <w:r w:rsidR="00BB3A3F" w:rsidRPr="00BB3A3F">
        <w:rPr>
          <w:rFonts w:asciiTheme="minorHAnsi" w:eastAsia="Times New Roman" w:hAnsiTheme="minorHAnsi" w:cstheme="minorHAnsi"/>
          <w:noProof/>
          <w:szCs w:val="24"/>
        </w:rPr>
        <w:t xml:space="preserve"> </w:t>
      </w:r>
    </w:p>
    <w:p w14:paraId="1DD2DABD" w14:textId="77777777" w:rsidR="00160446" w:rsidRDefault="00160446" w:rsidP="00E8160A">
      <w:pPr>
        <w:spacing w:after="0" w:line="240" w:lineRule="auto"/>
        <w:jc w:val="both"/>
        <w:rPr>
          <w:rFonts w:asciiTheme="minorHAnsi" w:eastAsia="Times New Roman" w:hAnsiTheme="minorHAnsi" w:cstheme="minorHAnsi"/>
          <w:noProof/>
          <w:szCs w:val="24"/>
        </w:rPr>
      </w:pPr>
    </w:p>
    <w:p w14:paraId="7DA471C0" w14:textId="77777777" w:rsidR="00160446" w:rsidRDefault="00B27912" w:rsidP="00160446">
      <w:pPr>
        <w:spacing w:after="0" w:line="240" w:lineRule="auto"/>
        <w:jc w:val="center"/>
        <w:rPr>
          <w:rFonts w:asciiTheme="minorHAnsi" w:eastAsia="Times New Roman" w:hAnsiTheme="minorHAnsi" w:cstheme="minorHAnsi"/>
          <w:szCs w:val="24"/>
        </w:rPr>
      </w:pPr>
      <w:r>
        <w:rPr>
          <w:rFonts w:asciiTheme="minorHAnsi" w:eastAsia="Times New Roman" w:hAnsiTheme="minorHAnsi" w:cstheme="minorHAnsi"/>
          <w:szCs w:val="24"/>
        </w:rPr>
        <w:pict w14:anchorId="7771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301pt">
            <v:imagedata r:id="rId9" o:title="table éval elipse 3"/>
          </v:shape>
        </w:pict>
      </w:r>
    </w:p>
    <w:p w14:paraId="073182E5" w14:textId="77777777" w:rsidR="00160446" w:rsidRDefault="00160446" w:rsidP="00160446">
      <w:pPr>
        <w:spacing w:after="0" w:line="240" w:lineRule="auto"/>
        <w:jc w:val="center"/>
        <w:rPr>
          <w:rFonts w:asciiTheme="minorHAnsi" w:eastAsia="Times New Roman" w:hAnsiTheme="minorHAnsi" w:cstheme="minorHAnsi"/>
          <w:szCs w:val="24"/>
        </w:rPr>
      </w:pPr>
    </w:p>
    <w:p w14:paraId="15FFAB2A" w14:textId="2EECCF53" w:rsidR="00EF6457" w:rsidRDefault="001214B3" w:rsidP="00160446">
      <w:pPr>
        <w:spacing w:after="0" w:line="240" w:lineRule="auto"/>
        <w:jc w:val="both"/>
        <w:rPr>
          <w:rFonts w:asciiTheme="minorHAnsi" w:eastAsia="Times New Roman" w:hAnsiTheme="minorHAnsi" w:cstheme="minorHAnsi"/>
          <w:szCs w:val="24"/>
        </w:rPr>
      </w:pPr>
      <w:r w:rsidRPr="001214B3">
        <w:rPr>
          <w:rFonts w:asciiTheme="minorHAnsi" w:eastAsia="Times New Roman" w:hAnsiTheme="minorHAnsi" w:cstheme="minorHAnsi"/>
          <w:b/>
          <w:noProof/>
          <w:color w:val="3171D2"/>
          <w:sz w:val="28"/>
        </w:rPr>
        <mc:AlternateContent>
          <mc:Choice Requires="wps">
            <w:drawing>
              <wp:anchor distT="0" distB="0" distL="114300" distR="114300" simplePos="0" relativeHeight="251661312" behindDoc="1" locked="0" layoutInCell="1" allowOverlap="1" wp14:anchorId="10D3621C" wp14:editId="6114F000">
                <wp:simplePos x="0" y="0"/>
                <wp:positionH relativeFrom="column">
                  <wp:posOffset>-885190</wp:posOffset>
                </wp:positionH>
                <wp:positionV relativeFrom="paragraph">
                  <wp:posOffset>-12323890</wp:posOffset>
                </wp:positionV>
                <wp:extent cx="359410" cy="359410"/>
                <wp:effectExtent l="0" t="0" r="2540" b="2540"/>
                <wp:wrapNone/>
                <wp:docPr id="37" name="Ellipse 37"/>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EB69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521AB" id="Ellipse 37" o:spid="_x0000_s1026" style="position:absolute;margin-left:-69.7pt;margin-top:-970.4pt;width:28.3pt;height:2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" fillcolor="#eb6909" stroked="f" strokeweight="1pt">
                <v:stroke joinstyle="miter"/>
              </v:oval>
            </w:pict>
          </mc:Fallback>
        </mc:AlternateContent>
      </w:r>
      <w:r w:rsidR="00313DCB" w:rsidRPr="00A966D4">
        <w:rPr>
          <w:rFonts w:asciiTheme="minorHAnsi" w:eastAsia="Times New Roman" w:hAnsiTheme="minorHAnsi" w:cstheme="minorHAnsi"/>
          <w:szCs w:val="24"/>
        </w:rPr>
        <w:t xml:space="preserve">Chacun est évalué par </w:t>
      </w:r>
      <w:r w:rsidR="00160446">
        <w:rPr>
          <w:rFonts w:asciiTheme="minorHAnsi" w:eastAsia="Times New Roman" w:hAnsiTheme="minorHAnsi" w:cstheme="minorHAnsi"/>
          <w:szCs w:val="24"/>
        </w:rPr>
        <w:t>un certain nombre d’indicateurs</w:t>
      </w:r>
      <w:r w:rsidR="00313DCB" w:rsidRPr="00A966D4">
        <w:rPr>
          <w:rFonts w:asciiTheme="minorHAnsi" w:eastAsia="Times New Roman" w:hAnsiTheme="minorHAnsi" w:cstheme="minorHAnsi"/>
          <w:szCs w:val="24"/>
        </w:rPr>
        <w:t xml:space="preserve"> qu’il est conseillé de renseigner de manière collaborative par un ensemble de parties prenantes au cours de l’évaluation. Ils sont ensuite agrégés et les résultats sont présentés de manière synthétique sous forme d'un radar. Ce radar constitue, pour les entreprises, le territoire et les acteurs qui les soutiennent dans leur action, un moyen de visualiser les points forts et les points faibles et d’identifier de nouvelles pistes de progrès à partir d’un état de référence (résultat de la toute première évaluation). De nouveaux objectifs peuvent être déterminés collectivement, auxquels sera comparé l’état d’avancement à chaque fois actualisé pour dessiner la courbe d’évolution des marges de progrès. </w:t>
      </w:r>
    </w:p>
    <w:p w14:paraId="3F1F4D86" w14:textId="18C3F534" w:rsidR="00882764" w:rsidRPr="00A966D4" w:rsidRDefault="00EB3396" w:rsidP="00E8160A">
      <w:pPr>
        <w:spacing w:after="280" w:line="240" w:lineRule="auto"/>
        <w:jc w:val="center"/>
        <w:rPr>
          <w:rFonts w:asciiTheme="minorHAnsi" w:hAnsiTheme="minorHAnsi" w:cstheme="minorHAnsi"/>
          <w:sz w:val="20"/>
        </w:rPr>
      </w:pPr>
      <w:r>
        <w:rPr>
          <w:rFonts w:asciiTheme="minorHAnsi" w:eastAsia="Times New Roman" w:hAnsiTheme="minorHAnsi" w:cstheme="minorHAnsi"/>
          <w:noProof/>
          <w:szCs w:val="24"/>
        </w:rPr>
        <w:lastRenderedPageBreak/>
        <w:pict w14:anchorId="58A57EDD">
          <v:shape id="_x0000_i1026" type="#_x0000_t75" style="width:454pt;height:244pt">
            <v:imagedata r:id="rId10" o:title="forme graphique elipse 3"/>
          </v:shape>
        </w:pict>
      </w:r>
    </w:p>
    <w:p w14:paraId="7D3ED9D2" w14:textId="560DF068" w:rsidR="00882764" w:rsidRPr="001214B3" w:rsidRDefault="001214B3" w:rsidP="00E24D1E">
      <w:pPr>
        <w:pStyle w:val="Paragraphedeliste"/>
        <w:numPr>
          <w:ilvl w:val="0"/>
          <w:numId w:val="8"/>
        </w:numPr>
        <w:spacing w:after="280" w:line="240" w:lineRule="auto"/>
        <w:rPr>
          <w:rFonts w:asciiTheme="minorHAnsi" w:hAnsiTheme="minorHAnsi" w:cstheme="minorHAnsi"/>
          <w:color w:val="EB6909"/>
          <w:sz w:val="28"/>
        </w:rPr>
      </w:pPr>
      <w:r w:rsidRPr="001214B3">
        <w:rPr>
          <w:rFonts w:asciiTheme="minorHAnsi" w:eastAsia="Times New Roman" w:hAnsiTheme="minorHAnsi" w:cstheme="minorHAnsi"/>
          <w:noProof/>
          <w:color w:val="EB6909"/>
          <w:sz w:val="24"/>
        </w:rPr>
        <mc:AlternateContent>
          <mc:Choice Requires="wps">
            <w:drawing>
              <wp:anchor distT="0" distB="0" distL="114300" distR="114300" simplePos="0" relativeHeight="251669504" behindDoc="1" locked="0" layoutInCell="1" allowOverlap="1" wp14:anchorId="6FCCB50D" wp14:editId="04BE4DE9">
                <wp:simplePos x="0" y="0"/>
                <wp:positionH relativeFrom="margin">
                  <wp:align>left</wp:align>
                </wp:positionH>
                <wp:positionV relativeFrom="paragraph">
                  <wp:posOffset>-83127</wp:posOffset>
                </wp:positionV>
                <wp:extent cx="360000" cy="360000"/>
                <wp:effectExtent l="0" t="0" r="2540" b="2540"/>
                <wp:wrapNone/>
                <wp:docPr id="44" name="Ellipse 44"/>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EB69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01BF6" w14:textId="77777777" w:rsidR="001214B3" w:rsidRDefault="001214B3" w:rsidP="00121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CCB50D" id="Ellipse 44" o:spid="_x0000_s1026" style="position:absolute;left:0;text-align:left;margin-left:0;margin-top:-6.55pt;width:28.35pt;height:28.3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" fillcolor="#eb6909" stroked="f" strokeweight="1pt">
                <v:stroke joinstyle="miter"/>
                <v:textbox>
                  <w:txbxContent>
                    <w:p w14:paraId="5A301BF6" w14:textId="77777777" w:rsidR="001214B3" w:rsidRDefault="001214B3" w:rsidP="001214B3">
                      <w:pPr>
                        <w:jc w:val="center"/>
                      </w:pPr>
                    </w:p>
                  </w:txbxContent>
                </v:textbox>
                <w10:wrap anchorx="margin"/>
              </v:oval>
            </w:pict>
          </mc:Fallback>
        </mc:AlternateContent>
      </w:r>
      <w:r w:rsidRPr="001214B3">
        <w:rPr>
          <w:rFonts w:asciiTheme="minorHAnsi" w:eastAsia="Times New Roman" w:hAnsiTheme="minorHAnsi" w:cstheme="minorHAnsi"/>
          <w:noProof/>
          <w:color w:val="EB6909"/>
          <w:sz w:val="24"/>
        </w:rPr>
        <mc:AlternateContent>
          <mc:Choice Requires="wps">
            <w:drawing>
              <wp:anchor distT="0" distB="0" distL="114300" distR="114300" simplePos="0" relativeHeight="251667456" behindDoc="1" locked="0" layoutInCell="1" allowOverlap="1" wp14:anchorId="15664EE1" wp14:editId="0C956428">
                <wp:simplePos x="0" y="0"/>
                <wp:positionH relativeFrom="column">
                  <wp:posOffset>0</wp:posOffset>
                </wp:positionH>
                <wp:positionV relativeFrom="paragraph">
                  <wp:posOffset>-86600665</wp:posOffset>
                </wp:positionV>
                <wp:extent cx="359410" cy="359410"/>
                <wp:effectExtent l="0" t="0" r="2540" b="2540"/>
                <wp:wrapNone/>
                <wp:docPr id="43" name="Ellipse 4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EB69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BEB27" w14:textId="77777777" w:rsidR="001214B3" w:rsidRDefault="001214B3" w:rsidP="00121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64EE1" id="Ellipse 43" o:spid="_x0000_s1027" style="position:absolute;left:0;text-align:left;margin-left:0;margin-top:-6818.95pt;width:28.3pt;height:2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" fillcolor="#eb6909" stroked="f" strokeweight="1pt">
                <v:stroke joinstyle="miter"/>
                <v:textbox>
                  <w:txbxContent>
                    <w:p w14:paraId="40DBEB27" w14:textId="77777777" w:rsidR="001214B3" w:rsidRDefault="001214B3" w:rsidP="001214B3">
                      <w:pPr>
                        <w:jc w:val="center"/>
                      </w:pPr>
                    </w:p>
                  </w:txbxContent>
                </v:textbox>
              </v:oval>
            </w:pict>
          </mc:Fallback>
        </mc:AlternateContent>
      </w:r>
      <w:r w:rsidR="00313DCB" w:rsidRPr="001214B3">
        <w:rPr>
          <w:rFonts w:asciiTheme="minorHAnsi" w:eastAsia="Times New Roman" w:hAnsiTheme="minorHAnsi" w:cstheme="minorHAnsi"/>
          <w:color w:val="EB6909"/>
          <w:sz w:val="28"/>
        </w:rPr>
        <w:t>Pourquoi intégrer l’ambition de durabilité dans la construction du Référentiel ELIPSE ?</w:t>
      </w:r>
    </w:p>
    <w:p w14:paraId="6F373C8E" w14:textId="3A0777E9" w:rsidR="00882764" w:rsidRPr="00E24D1E" w:rsidRDefault="00313DCB">
      <w:pPr>
        <w:spacing w:after="280" w:line="240" w:lineRule="auto"/>
        <w:jc w:val="both"/>
        <w:rPr>
          <w:rFonts w:asciiTheme="minorHAnsi" w:hAnsiTheme="minorHAnsi" w:cstheme="minorHAnsi"/>
        </w:rPr>
      </w:pPr>
      <w:r w:rsidRPr="00E24D1E">
        <w:rPr>
          <w:rFonts w:asciiTheme="minorHAnsi" w:eastAsia="Times New Roman" w:hAnsiTheme="minorHAnsi" w:cstheme="minorHAnsi"/>
        </w:rPr>
        <w:t xml:space="preserve">La notion de développement durable </w:t>
      </w:r>
      <w:r w:rsidR="00607453" w:rsidRPr="00E24D1E">
        <w:rPr>
          <w:rFonts w:asciiTheme="minorHAnsi" w:eastAsia="Times New Roman" w:hAnsiTheme="minorHAnsi" w:cstheme="minorHAnsi"/>
        </w:rPr>
        <w:t>présente un</w:t>
      </w:r>
      <w:r w:rsidRPr="00E24D1E">
        <w:rPr>
          <w:rFonts w:asciiTheme="minorHAnsi" w:eastAsia="Times New Roman" w:hAnsiTheme="minorHAnsi" w:cstheme="minorHAnsi"/>
        </w:rPr>
        <w:t xml:space="preserve"> caractère flou et complexe</w:t>
      </w:r>
      <w:r w:rsidR="00607453" w:rsidRPr="00E24D1E">
        <w:rPr>
          <w:rFonts w:asciiTheme="minorHAnsi" w:eastAsia="Times New Roman" w:hAnsiTheme="minorHAnsi" w:cstheme="minorHAnsi"/>
        </w:rPr>
        <w:t xml:space="preserve">. Il est par ailleurs </w:t>
      </w:r>
      <w:r w:rsidRPr="00E24D1E">
        <w:rPr>
          <w:rFonts w:asciiTheme="minorHAnsi" w:eastAsia="Times New Roman" w:hAnsiTheme="minorHAnsi" w:cstheme="minorHAnsi"/>
        </w:rPr>
        <w:t xml:space="preserve"> diffic</w:t>
      </w:r>
      <w:r w:rsidR="00607453" w:rsidRPr="00E24D1E">
        <w:rPr>
          <w:rFonts w:asciiTheme="minorHAnsi" w:eastAsia="Times New Roman" w:hAnsiTheme="minorHAnsi" w:cstheme="minorHAnsi"/>
        </w:rPr>
        <w:t>ile</w:t>
      </w:r>
      <w:r w:rsidR="00E24D1E">
        <w:rPr>
          <w:rFonts w:asciiTheme="minorHAnsi" w:eastAsia="Times New Roman" w:hAnsiTheme="minorHAnsi" w:cstheme="minorHAnsi"/>
        </w:rPr>
        <w:t xml:space="preserve"> </w:t>
      </w:r>
      <w:r w:rsidR="00607453" w:rsidRPr="00E24D1E">
        <w:rPr>
          <w:rFonts w:asciiTheme="minorHAnsi" w:eastAsia="Times New Roman" w:hAnsiTheme="minorHAnsi" w:cstheme="minorHAnsi"/>
        </w:rPr>
        <w:t>d’</w:t>
      </w:r>
      <w:r w:rsidRPr="00E24D1E">
        <w:rPr>
          <w:rFonts w:asciiTheme="minorHAnsi" w:eastAsia="Times New Roman" w:hAnsiTheme="minorHAnsi" w:cstheme="minorHAnsi"/>
        </w:rPr>
        <w:t>en inférer des normes : selon les termes de J</w:t>
      </w:r>
      <w:r w:rsidR="00607453" w:rsidRPr="00E24D1E">
        <w:rPr>
          <w:rFonts w:asciiTheme="minorHAnsi" w:eastAsia="Times New Roman" w:hAnsiTheme="minorHAnsi" w:cstheme="minorHAnsi"/>
        </w:rPr>
        <w:t>.</w:t>
      </w:r>
      <w:r w:rsidRPr="00E24D1E">
        <w:rPr>
          <w:rFonts w:asciiTheme="minorHAnsi" w:eastAsia="Times New Roman" w:hAnsiTheme="minorHAnsi" w:cstheme="minorHAnsi"/>
        </w:rPr>
        <w:t xml:space="preserve"> Theys (2014)</w:t>
      </w:r>
      <w:r w:rsidR="0061393D" w:rsidRPr="00E8160A">
        <w:rPr>
          <w:rStyle w:val="Appelnotedebasdep"/>
          <w:rFonts w:asciiTheme="minorHAnsi" w:eastAsia="Times New Roman" w:hAnsiTheme="minorHAnsi" w:cstheme="minorHAnsi"/>
          <w:color w:val="3171D2"/>
        </w:rPr>
        <w:footnoteReference w:id="2"/>
      </w:r>
      <w:r w:rsidR="00E24D1E" w:rsidRPr="00E8160A">
        <w:rPr>
          <w:rFonts w:asciiTheme="minorHAnsi" w:eastAsia="Times New Roman" w:hAnsiTheme="minorHAnsi" w:cstheme="minorHAnsi"/>
          <w:color w:val="3171D2"/>
        </w:rPr>
        <w:t xml:space="preserve"> </w:t>
      </w:r>
      <w:r w:rsidR="00E24D1E">
        <w:rPr>
          <w:rFonts w:asciiTheme="minorHAnsi" w:eastAsia="Times New Roman" w:hAnsiTheme="minorHAnsi" w:cstheme="minorHAnsi"/>
        </w:rPr>
        <w:t>le développement durable est « </w:t>
      </w:r>
      <w:r w:rsidRPr="00E24D1E">
        <w:rPr>
          <w:rFonts w:asciiTheme="minorHAnsi" w:eastAsia="Times New Roman" w:hAnsiTheme="minorHAnsi" w:cstheme="minorHAnsi"/>
        </w:rPr>
        <w:t>un concept normatif sans normes</w:t>
      </w:r>
      <w:r w:rsidR="00E24D1E">
        <w:rPr>
          <w:rFonts w:asciiTheme="minorHAnsi" w:eastAsia="Times New Roman" w:hAnsiTheme="minorHAnsi" w:cstheme="minorHAnsi"/>
        </w:rPr>
        <w:t> »</w:t>
      </w:r>
      <w:r w:rsidRPr="00E24D1E">
        <w:rPr>
          <w:rFonts w:asciiTheme="minorHAnsi" w:eastAsia="Times New Roman" w:hAnsiTheme="minorHAnsi" w:cstheme="minorHAnsi"/>
        </w:rPr>
        <w:t xml:space="preserve">, et peut-être est-ce la raison pour laquelle il reste « sous-exploité ». Néanmoins, même si cette notion est difficile à définir, il paraît acquis que les démarches d'EIT cherchent à tendre vers une plus grande durabilité des territoires. </w:t>
      </w:r>
      <w:r w:rsidRPr="00E24D1E">
        <w:rPr>
          <w:rFonts w:asciiTheme="minorHAnsi" w:eastAsia="Times New Roman" w:hAnsiTheme="minorHAnsi" w:cstheme="minorHAnsi"/>
          <w:b/>
          <w:color w:val="3171D2"/>
        </w:rPr>
        <w:t xml:space="preserve">Le référentiel souhaite de ce point de vue contribuer de manière opérationnelle à l'évaluation </w:t>
      </w:r>
      <w:r w:rsidR="007F7FFC" w:rsidRPr="00E24D1E">
        <w:rPr>
          <w:rFonts w:asciiTheme="minorHAnsi" w:eastAsia="Times New Roman" w:hAnsiTheme="minorHAnsi" w:cstheme="minorHAnsi"/>
          <w:b/>
          <w:color w:val="3171D2"/>
        </w:rPr>
        <w:t xml:space="preserve">de la durabilité </w:t>
      </w:r>
      <w:r w:rsidRPr="00E24D1E">
        <w:rPr>
          <w:rFonts w:asciiTheme="minorHAnsi" w:eastAsia="Times New Roman" w:hAnsiTheme="minorHAnsi" w:cstheme="minorHAnsi"/>
          <w:b/>
          <w:color w:val="3171D2"/>
        </w:rPr>
        <w:t xml:space="preserve">des pratiques pour aller vers une </w:t>
      </w:r>
      <w:r w:rsidR="007F7FFC" w:rsidRPr="00E24D1E">
        <w:rPr>
          <w:rFonts w:asciiTheme="minorHAnsi" w:eastAsia="Times New Roman" w:hAnsiTheme="minorHAnsi" w:cstheme="minorHAnsi"/>
          <w:b/>
          <w:color w:val="3171D2"/>
        </w:rPr>
        <w:t>intégration</w:t>
      </w:r>
      <w:r w:rsidRPr="00E24D1E">
        <w:rPr>
          <w:rFonts w:asciiTheme="minorHAnsi" w:eastAsia="Times New Roman" w:hAnsiTheme="minorHAnsi" w:cstheme="minorHAnsi"/>
          <w:b/>
          <w:color w:val="3171D2"/>
        </w:rPr>
        <w:t xml:space="preserve"> plus exigeante</w:t>
      </w:r>
      <w:r w:rsidR="007F7FFC" w:rsidRPr="00E24D1E">
        <w:rPr>
          <w:rFonts w:asciiTheme="minorHAnsi" w:eastAsia="Times New Roman" w:hAnsiTheme="minorHAnsi" w:cstheme="minorHAnsi"/>
          <w:b/>
          <w:color w:val="3171D2"/>
        </w:rPr>
        <w:t xml:space="preserve"> de celle-ci</w:t>
      </w:r>
      <w:r w:rsidRPr="00E24D1E">
        <w:rPr>
          <w:rFonts w:asciiTheme="minorHAnsi" w:eastAsia="Times New Roman" w:hAnsiTheme="minorHAnsi" w:cstheme="minorHAnsi"/>
        </w:rPr>
        <w:t>.</w:t>
      </w:r>
    </w:p>
    <w:p w14:paraId="351B09C0" w14:textId="77777777" w:rsidR="00882764" w:rsidRPr="00E24D1E" w:rsidRDefault="00313DCB">
      <w:pPr>
        <w:spacing w:after="280" w:line="240" w:lineRule="auto"/>
        <w:jc w:val="both"/>
        <w:rPr>
          <w:rFonts w:asciiTheme="minorHAnsi" w:hAnsiTheme="minorHAnsi" w:cstheme="minorHAnsi"/>
        </w:rPr>
      </w:pPr>
      <w:r w:rsidRPr="00E24D1E">
        <w:rPr>
          <w:rFonts w:asciiTheme="minorHAnsi" w:eastAsia="Times New Roman" w:hAnsiTheme="minorHAnsi" w:cstheme="minorHAnsi"/>
        </w:rPr>
        <w:t xml:space="preserve">Les recherches bibliographiques menées dans le cadre du projet ont mis en évidence les difficultés rencontrées de manière générale dans l’évaluation du développement durable et plus particulièrement celui d’un territoire. La vision cloisonnée des trois piliers du développement durable et donc les systèmes d’évaluation multi-objectifs qui y sont rattachés (souvent très quantitatifs, cherchant à mesurer des coûts ou bénéfices, une certaine (éco-) efficacité, des impacts environnementaux à court terme...) ne peuvent espérer mesurer une durabilité qu’à une échelle réduite (produits, process…) et à un instant donné. </w:t>
      </w:r>
      <w:r w:rsidRPr="00E24D1E">
        <w:rPr>
          <w:rFonts w:asciiTheme="minorHAnsi" w:eastAsia="Times New Roman" w:hAnsiTheme="minorHAnsi" w:cstheme="minorHAnsi"/>
          <w:color w:val="auto"/>
        </w:rPr>
        <w:t xml:space="preserve">Une approche multi-échelles et systémique </w:t>
      </w:r>
      <w:r w:rsidRPr="00E24D1E">
        <w:rPr>
          <w:rFonts w:asciiTheme="minorHAnsi" w:eastAsia="Times New Roman" w:hAnsiTheme="minorHAnsi" w:cstheme="minorHAnsi"/>
        </w:rPr>
        <w:t xml:space="preserve">du territoire et de ses réalités physiques, économiques et sociales semble nécessaire afin de prendre en </w:t>
      </w:r>
      <w:r w:rsidRPr="00E24D1E">
        <w:rPr>
          <w:rFonts w:asciiTheme="minorHAnsi" w:eastAsia="Times New Roman" w:hAnsiTheme="minorHAnsi" w:cstheme="minorHAnsi"/>
        </w:rPr>
        <w:lastRenderedPageBreak/>
        <w:t xml:space="preserve">compte les enjeux du territoire, des entreprises, la préservation du capital écologique, ou encore les richesses des autres territoires. </w:t>
      </w:r>
    </w:p>
    <w:p w14:paraId="0290AB00" w14:textId="78597CBC" w:rsidR="00882764" w:rsidRPr="00E24D1E" w:rsidRDefault="00313DCB">
      <w:pPr>
        <w:spacing w:after="280" w:line="240" w:lineRule="auto"/>
        <w:jc w:val="both"/>
        <w:rPr>
          <w:rFonts w:asciiTheme="minorHAnsi" w:hAnsiTheme="minorHAnsi" w:cstheme="minorHAnsi"/>
        </w:rPr>
      </w:pPr>
      <w:r w:rsidRPr="00E24D1E">
        <w:rPr>
          <w:rFonts w:asciiTheme="minorHAnsi" w:eastAsia="Times New Roman" w:hAnsiTheme="minorHAnsi" w:cstheme="minorHAnsi"/>
        </w:rPr>
        <w:t xml:space="preserve">A minima, les démarches d’EIT visent à </w:t>
      </w:r>
      <w:r w:rsidRPr="00E24D1E">
        <w:rPr>
          <w:rFonts w:asciiTheme="minorHAnsi" w:eastAsia="Times New Roman" w:hAnsiTheme="minorHAnsi" w:cstheme="minorHAnsi"/>
          <w:color w:val="auto"/>
        </w:rPr>
        <w:t>découpler les flux de matières et d’énergie de la croissance économique.</w:t>
      </w:r>
      <w:r w:rsidRPr="00E24D1E">
        <w:rPr>
          <w:rFonts w:asciiTheme="minorHAnsi" w:eastAsia="Times New Roman" w:hAnsiTheme="minorHAnsi" w:cstheme="minorHAnsi"/>
        </w:rPr>
        <w:t xml:space="preserve"> Le bouclage des flux permet de réduire l'usage de matières premières et la production de déchets limitant ainsi les impacts environnementaux. Un des enjeux pour les démarches d’EIT est de sortir des actions purement curatives d</w:t>
      </w:r>
      <w:r w:rsidR="00E24D1E">
        <w:rPr>
          <w:rFonts w:asciiTheme="minorHAnsi" w:eastAsia="Times New Roman" w:hAnsiTheme="minorHAnsi" w:cstheme="minorHAnsi"/>
        </w:rPr>
        <w:t>ites de « </w:t>
      </w:r>
      <w:r w:rsidRPr="00E24D1E">
        <w:rPr>
          <w:rFonts w:asciiTheme="minorHAnsi" w:eastAsia="Times New Roman" w:hAnsiTheme="minorHAnsi" w:cstheme="minorHAnsi"/>
        </w:rPr>
        <w:t>bout de chaîne</w:t>
      </w:r>
      <w:r w:rsidR="00E24D1E">
        <w:rPr>
          <w:rFonts w:asciiTheme="minorHAnsi" w:eastAsia="Times New Roman" w:hAnsiTheme="minorHAnsi" w:cstheme="minorHAnsi"/>
        </w:rPr>
        <w:t> »</w:t>
      </w:r>
      <w:r w:rsidRPr="00E24D1E">
        <w:rPr>
          <w:rFonts w:asciiTheme="minorHAnsi" w:eastAsia="Times New Roman" w:hAnsiTheme="minorHAnsi" w:cstheme="minorHAnsi"/>
        </w:rPr>
        <w:t xml:space="preserve"> (</w:t>
      </w:r>
      <w:r w:rsidR="00E24D1E">
        <w:rPr>
          <w:rFonts w:asciiTheme="minorHAnsi" w:eastAsia="Times New Roman" w:hAnsiTheme="minorHAnsi" w:cstheme="minorHAnsi"/>
        </w:rPr>
        <w:t>« end of pipe »</w:t>
      </w:r>
      <w:r w:rsidRPr="00E24D1E">
        <w:rPr>
          <w:rFonts w:asciiTheme="minorHAnsi" w:eastAsia="Times New Roman" w:hAnsiTheme="minorHAnsi" w:cstheme="minorHAnsi"/>
        </w:rPr>
        <w:t>) qui consistent à traiter les problèmes en aval, sans s'inquiéter des causes de leur apparition : mieux gérer les déchets sans chercher à les réduire, optimiser le coût des intrants sans s'interroger sur leur origine… Les systèmes d’indicateurs existant pour évaluer les performances des</w:t>
      </w:r>
      <w:r w:rsidRPr="00E24D1E">
        <w:rPr>
          <w:rFonts w:asciiTheme="minorHAnsi" w:eastAsia="Times New Roman" w:hAnsiTheme="minorHAnsi" w:cstheme="minorHAnsi"/>
          <w:color w:val="FF00FF"/>
        </w:rPr>
        <w:t xml:space="preserve"> </w:t>
      </w:r>
      <w:r w:rsidRPr="00E24D1E">
        <w:rPr>
          <w:rFonts w:asciiTheme="minorHAnsi" w:eastAsia="Times New Roman" w:hAnsiTheme="minorHAnsi" w:cstheme="minorHAnsi"/>
        </w:rPr>
        <w:t xml:space="preserve">démarches d’EIT portent le plus souvent sur le fonctionnement </w:t>
      </w:r>
      <w:r w:rsidR="00EA695C" w:rsidRPr="00E24D1E">
        <w:rPr>
          <w:rFonts w:asciiTheme="minorHAnsi" w:eastAsia="Times New Roman" w:hAnsiTheme="minorHAnsi" w:cstheme="minorHAnsi"/>
        </w:rPr>
        <w:t xml:space="preserve">technique </w:t>
      </w:r>
      <w:r w:rsidRPr="00E24D1E">
        <w:rPr>
          <w:rFonts w:asciiTheme="minorHAnsi" w:eastAsia="Times New Roman" w:hAnsiTheme="minorHAnsi" w:cstheme="minorHAnsi"/>
        </w:rPr>
        <w:t xml:space="preserve">des synergies ou les quantités de flux de matière </w:t>
      </w:r>
      <w:r w:rsidR="00EA695C" w:rsidRPr="00E24D1E">
        <w:rPr>
          <w:rFonts w:asciiTheme="minorHAnsi" w:eastAsia="Times New Roman" w:hAnsiTheme="minorHAnsi" w:cstheme="minorHAnsi"/>
        </w:rPr>
        <w:t xml:space="preserve">échangés ou économisés </w:t>
      </w:r>
      <w:r w:rsidRPr="00E24D1E">
        <w:rPr>
          <w:rFonts w:asciiTheme="minorHAnsi" w:eastAsia="Times New Roman" w:hAnsiTheme="minorHAnsi" w:cstheme="minorHAnsi"/>
        </w:rPr>
        <w:t>: tonnes de CO</w:t>
      </w:r>
      <w:r w:rsidRPr="00E24D1E">
        <w:rPr>
          <w:rFonts w:asciiTheme="minorHAnsi" w:eastAsia="Times New Roman" w:hAnsiTheme="minorHAnsi" w:cstheme="minorHAnsi"/>
          <w:vertAlign w:val="subscript"/>
        </w:rPr>
        <w:t>2</w:t>
      </w:r>
      <w:r w:rsidRPr="00E24D1E">
        <w:rPr>
          <w:rFonts w:asciiTheme="minorHAnsi" w:eastAsia="Times New Roman" w:hAnsiTheme="minorHAnsi" w:cstheme="minorHAnsi"/>
        </w:rPr>
        <w:t xml:space="preserve">, de déchets, </w:t>
      </w:r>
      <w:r w:rsidR="00EA695C" w:rsidRPr="00E24D1E">
        <w:rPr>
          <w:rFonts w:asciiTheme="minorHAnsi" w:eastAsia="Times New Roman" w:hAnsiTheme="minorHAnsi" w:cstheme="minorHAnsi"/>
        </w:rPr>
        <w:t>d</w:t>
      </w:r>
      <w:r w:rsidR="00E24D1E">
        <w:rPr>
          <w:rFonts w:asciiTheme="minorHAnsi" w:eastAsia="Times New Roman" w:hAnsiTheme="minorHAnsi" w:cstheme="minorHAnsi"/>
        </w:rPr>
        <w:t>e ressources non consommées..</w:t>
      </w:r>
      <w:r w:rsidR="00EA695C" w:rsidRPr="00E24D1E">
        <w:rPr>
          <w:rFonts w:asciiTheme="minorHAnsi" w:eastAsia="Times New Roman" w:hAnsiTheme="minorHAnsi" w:cstheme="minorHAnsi"/>
        </w:rPr>
        <w:t>.</w:t>
      </w:r>
      <w:r w:rsidRPr="00E24D1E">
        <w:rPr>
          <w:rFonts w:asciiTheme="minorHAnsi" w:eastAsia="Times New Roman" w:hAnsiTheme="minorHAnsi" w:cstheme="minorHAnsi"/>
        </w:rPr>
        <w:t xml:space="preserve"> </w:t>
      </w:r>
      <w:r w:rsidRPr="00E24D1E">
        <w:rPr>
          <w:rFonts w:asciiTheme="minorHAnsi" w:eastAsia="Times New Roman" w:hAnsiTheme="minorHAnsi" w:cstheme="minorHAnsi"/>
          <w:b/>
          <w:color w:val="3171D2"/>
        </w:rPr>
        <w:t xml:space="preserve">Les indicateurs d’impacts ou d’intégration environnementale doivent donc être repensés </w:t>
      </w:r>
      <w:r w:rsidR="00EA695C" w:rsidRPr="00E24D1E">
        <w:rPr>
          <w:rFonts w:asciiTheme="minorHAnsi" w:eastAsia="Times New Roman" w:hAnsiTheme="minorHAnsi" w:cstheme="minorHAnsi"/>
          <w:b/>
          <w:color w:val="3171D2"/>
        </w:rPr>
        <w:t xml:space="preserve">selon </w:t>
      </w:r>
      <w:r w:rsidRPr="00E24D1E">
        <w:rPr>
          <w:rFonts w:asciiTheme="minorHAnsi" w:eastAsia="Times New Roman" w:hAnsiTheme="minorHAnsi" w:cstheme="minorHAnsi"/>
          <w:b/>
          <w:color w:val="3171D2"/>
        </w:rPr>
        <w:t xml:space="preserve">une approche plus systémique </w:t>
      </w:r>
      <w:r w:rsidRPr="00E24D1E">
        <w:rPr>
          <w:rFonts w:asciiTheme="minorHAnsi" w:eastAsia="Times New Roman" w:hAnsiTheme="minorHAnsi" w:cstheme="minorHAnsi"/>
        </w:rPr>
        <w:t xml:space="preserve">de la manière de boucler les flux </w:t>
      </w:r>
      <w:r w:rsidR="00E8160A">
        <w:rPr>
          <w:rFonts w:asciiTheme="minorHAnsi" w:eastAsia="Times New Roman" w:hAnsiTheme="minorHAnsi" w:cstheme="minorHAnsi"/>
        </w:rPr>
        <w:t>en vue de</w:t>
      </w:r>
      <w:r w:rsidRPr="00E24D1E">
        <w:rPr>
          <w:rFonts w:asciiTheme="minorHAnsi" w:eastAsia="Times New Roman" w:hAnsiTheme="minorHAnsi" w:cstheme="minorHAnsi"/>
        </w:rPr>
        <w:t xml:space="preserve"> se placer dans un cadre de durabilité forte.</w:t>
      </w:r>
    </w:p>
    <w:p w14:paraId="39C1515F" w14:textId="1E8C83FF" w:rsidR="00882764" w:rsidRPr="00E24D1E" w:rsidRDefault="00313DCB">
      <w:pPr>
        <w:spacing w:after="280" w:line="240" w:lineRule="auto"/>
        <w:jc w:val="both"/>
        <w:rPr>
          <w:rFonts w:asciiTheme="minorHAnsi" w:hAnsiTheme="minorHAnsi" w:cstheme="minorHAnsi"/>
        </w:rPr>
      </w:pPr>
      <w:r w:rsidRPr="00E24D1E">
        <w:rPr>
          <w:rFonts w:asciiTheme="minorHAnsi" w:eastAsia="Times New Roman" w:hAnsiTheme="minorHAnsi" w:cstheme="minorHAnsi"/>
        </w:rPr>
        <w:t xml:space="preserve">Les entreprises </w:t>
      </w:r>
      <w:r w:rsidR="00E8160A">
        <w:rPr>
          <w:rFonts w:asciiTheme="minorHAnsi" w:eastAsia="Times New Roman" w:hAnsiTheme="minorHAnsi" w:cstheme="minorHAnsi"/>
        </w:rPr>
        <w:t>s’intéressent aux</w:t>
      </w:r>
      <w:r w:rsidRPr="00E24D1E">
        <w:rPr>
          <w:rFonts w:asciiTheme="minorHAnsi" w:eastAsia="Times New Roman" w:hAnsiTheme="minorHAnsi" w:cstheme="minorHAnsi"/>
        </w:rPr>
        <w:t xml:space="preserve"> démarches d’EIT avant tout parce qu’elles permettent de stabiliser voire </w:t>
      </w:r>
      <w:r w:rsidR="00EA695C" w:rsidRPr="00E24D1E">
        <w:rPr>
          <w:rFonts w:asciiTheme="minorHAnsi" w:eastAsia="Times New Roman" w:hAnsiTheme="minorHAnsi" w:cstheme="minorHAnsi"/>
        </w:rPr>
        <w:t xml:space="preserve">de </w:t>
      </w:r>
      <w:r w:rsidRPr="00E24D1E">
        <w:rPr>
          <w:rFonts w:asciiTheme="minorHAnsi" w:eastAsia="Times New Roman" w:hAnsiTheme="minorHAnsi" w:cstheme="minorHAnsi"/>
        </w:rPr>
        <w:t xml:space="preserve">diminuer les coûts de production (traitements des déchets, transports…). </w:t>
      </w:r>
      <w:r w:rsidR="006F68CC" w:rsidRPr="00E24D1E">
        <w:rPr>
          <w:rFonts w:asciiTheme="minorHAnsi" w:eastAsia="Times New Roman" w:hAnsiTheme="minorHAnsi" w:cstheme="minorHAnsi"/>
        </w:rPr>
        <w:t>Elle</w:t>
      </w:r>
      <w:r w:rsidR="00E24D1E">
        <w:rPr>
          <w:rFonts w:asciiTheme="minorHAnsi" w:eastAsia="Times New Roman" w:hAnsiTheme="minorHAnsi" w:cstheme="minorHAnsi"/>
        </w:rPr>
        <w:t>s</w:t>
      </w:r>
      <w:r w:rsidR="006F68CC" w:rsidRPr="00E24D1E">
        <w:rPr>
          <w:rFonts w:asciiTheme="minorHAnsi" w:eastAsia="Times New Roman" w:hAnsiTheme="minorHAnsi" w:cstheme="minorHAnsi"/>
        </w:rPr>
        <w:t xml:space="preserve"> génèrent</w:t>
      </w:r>
      <w:r w:rsidRPr="00E24D1E">
        <w:rPr>
          <w:rFonts w:asciiTheme="minorHAnsi" w:eastAsia="Times New Roman" w:hAnsiTheme="minorHAnsi" w:cstheme="minorHAnsi"/>
        </w:rPr>
        <w:t xml:space="preserve"> des gains à court terme, </w:t>
      </w:r>
      <w:r w:rsidR="006F68CC" w:rsidRPr="00E24D1E">
        <w:rPr>
          <w:rFonts w:asciiTheme="minorHAnsi" w:eastAsia="Times New Roman" w:hAnsiTheme="minorHAnsi" w:cstheme="minorHAnsi"/>
        </w:rPr>
        <w:t>mais elles</w:t>
      </w:r>
      <w:r w:rsidRPr="00E24D1E">
        <w:rPr>
          <w:rFonts w:asciiTheme="minorHAnsi" w:eastAsia="Times New Roman" w:hAnsiTheme="minorHAnsi" w:cstheme="minorHAnsi"/>
        </w:rPr>
        <w:t xml:space="preserve"> visent également à ancrer les entreprises sur les territoires et dans les réseaux d’activités locaux, et ainsi à pérenniser les systèmes productifs et l'emploi. Si les questions de la mesure des impacts sociaux ou sur le développement territorial sont toujours évoquées, elles se limitent en général aux problématiques liées aux économies réalisées grâce aux synergies, aux nouvelles perspectives de marchés et à l’emploi. Il s’agit d’</w:t>
      </w:r>
      <w:r w:rsidRPr="00E24D1E">
        <w:rPr>
          <w:rFonts w:asciiTheme="minorHAnsi" w:eastAsia="Times New Roman" w:hAnsiTheme="minorHAnsi" w:cstheme="minorHAnsi"/>
          <w:b/>
          <w:color w:val="3171D2"/>
        </w:rPr>
        <w:t xml:space="preserve">élargir le champ d’évaluation pour couvrir </w:t>
      </w:r>
      <w:r w:rsidR="006F68CC" w:rsidRPr="00E24D1E">
        <w:rPr>
          <w:rFonts w:asciiTheme="minorHAnsi" w:eastAsia="Times New Roman" w:hAnsiTheme="minorHAnsi" w:cstheme="minorHAnsi"/>
          <w:b/>
          <w:color w:val="3171D2"/>
        </w:rPr>
        <w:t>davantage de</w:t>
      </w:r>
      <w:r w:rsidRPr="00E24D1E">
        <w:rPr>
          <w:rFonts w:asciiTheme="minorHAnsi" w:eastAsia="Times New Roman" w:hAnsiTheme="minorHAnsi" w:cstheme="minorHAnsi"/>
          <w:b/>
          <w:color w:val="3171D2"/>
        </w:rPr>
        <w:t xml:space="preserve"> richesses locales que la démarche d’EIT peut contribuer à développer </w:t>
      </w:r>
      <w:r w:rsidRPr="00E24D1E">
        <w:rPr>
          <w:rFonts w:asciiTheme="minorHAnsi" w:eastAsia="Times New Roman" w:hAnsiTheme="minorHAnsi" w:cstheme="minorHAnsi"/>
        </w:rPr>
        <w:t>: ancrage des activités économiques pour répondre aux besoins des habitants, structuration de filières de proximité, qualité des emplois créés</w:t>
      </w:r>
      <w:r w:rsidR="00E24D1E">
        <w:rPr>
          <w:rFonts w:asciiTheme="minorHAnsi" w:eastAsia="Times New Roman" w:hAnsiTheme="minorHAnsi" w:cstheme="minorHAnsi"/>
        </w:rPr>
        <w:t xml:space="preserve">… </w:t>
      </w:r>
      <w:r w:rsidR="00C3416B" w:rsidRPr="00E24D1E">
        <w:rPr>
          <w:rFonts w:asciiTheme="minorHAnsi" w:eastAsia="Times New Roman" w:hAnsiTheme="minorHAnsi" w:cstheme="minorHAnsi"/>
        </w:rPr>
        <w:t>A partir des</w:t>
      </w:r>
      <w:r w:rsidR="006F68CC" w:rsidRPr="00E24D1E">
        <w:rPr>
          <w:rFonts w:asciiTheme="minorHAnsi" w:eastAsia="Times New Roman" w:hAnsiTheme="minorHAnsi" w:cstheme="minorHAnsi"/>
        </w:rPr>
        <w:t xml:space="preserve"> textes fondateurs en écologie industrielle</w:t>
      </w:r>
      <w:r w:rsidR="00C3416B" w:rsidRPr="00E24D1E">
        <w:rPr>
          <w:rFonts w:asciiTheme="minorHAnsi" w:eastAsia="Times New Roman" w:hAnsiTheme="minorHAnsi" w:cstheme="minorHAnsi"/>
        </w:rPr>
        <w:t xml:space="preserve"> (</w:t>
      </w:r>
      <w:proofErr w:type="spellStart"/>
      <w:r w:rsidR="00E24D1E">
        <w:rPr>
          <w:rFonts w:asciiTheme="minorHAnsi" w:eastAsia="Times New Roman" w:hAnsiTheme="minorHAnsi" w:cstheme="minorHAnsi"/>
        </w:rPr>
        <w:t>F</w:t>
      </w:r>
      <w:r w:rsidR="00AA4946">
        <w:rPr>
          <w:rFonts w:asciiTheme="minorHAnsi" w:eastAsia="Times New Roman" w:hAnsiTheme="minorHAnsi" w:cstheme="minorHAnsi"/>
        </w:rPr>
        <w:t>rosc</w:t>
      </w:r>
      <w:r w:rsidR="00E24D1E">
        <w:rPr>
          <w:rFonts w:asciiTheme="minorHAnsi" w:eastAsia="Times New Roman" w:hAnsiTheme="minorHAnsi" w:cstheme="minorHAnsi"/>
        </w:rPr>
        <w:t>h</w:t>
      </w:r>
      <w:proofErr w:type="spellEnd"/>
      <w:r w:rsidR="00E24D1E">
        <w:rPr>
          <w:rFonts w:asciiTheme="minorHAnsi" w:eastAsia="Times New Roman" w:hAnsiTheme="minorHAnsi" w:cstheme="minorHAnsi"/>
        </w:rPr>
        <w:t xml:space="preserve"> et </w:t>
      </w:r>
      <w:proofErr w:type="spellStart"/>
      <w:r w:rsidR="00E24D1E">
        <w:rPr>
          <w:rFonts w:asciiTheme="minorHAnsi" w:eastAsia="Times New Roman" w:hAnsiTheme="minorHAnsi" w:cstheme="minorHAnsi"/>
        </w:rPr>
        <w:t>Gallopoulos</w:t>
      </w:r>
      <w:proofErr w:type="spellEnd"/>
      <w:r w:rsidR="00E24D1E">
        <w:rPr>
          <w:rFonts w:asciiTheme="minorHAnsi" w:eastAsia="Times New Roman" w:hAnsiTheme="minorHAnsi" w:cstheme="minorHAnsi"/>
        </w:rPr>
        <w:t>, Allenby</w:t>
      </w:r>
      <w:r w:rsidR="00C3416B" w:rsidRPr="00E24D1E">
        <w:rPr>
          <w:rFonts w:asciiTheme="minorHAnsi" w:eastAsia="Times New Roman" w:hAnsiTheme="minorHAnsi" w:cstheme="minorHAnsi"/>
        </w:rPr>
        <w:t xml:space="preserve">), ce concept renvoie à des pratiques techno-centrées dont la durabilité repose sur une amélioration des performances environnementales, notamment via le </w:t>
      </w:r>
      <w:r w:rsidRPr="00E24D1E">
        <w:rPr>
          <w:rFonts w:asciiTheme="minorHAnsi" w:eastAsia="Times New Roman" w:hAnsiTheme="minorHAnsi" w:cstheme="minorHAnsi"/>
        </w:rPr>
        <w:t>bouclage des flux de matière et d'énergie</w:t>
      </w:r>
      <w:r w:rsidR="00C3416B" w:rsidRPr="00E24D1E">
        <w:rPr>
          <w:rFonts w:asciiTheme="minorHAnsi" w:eastAsia="Times New Roman" w:hAnsiTheme="minorHAnsi" w:cstheme="minorHAnsi"/>
        </w:rPr>
        <w:t>. Cette</w:t>
      </w:r>
      <w:r w:rsidR="00E24D1E">
        <w:rPr>
          <w:rFonts w:asciiTheme="minorHAnsi" w:eastAsia="Times New Roman" w:hAnsiTheme="minorHAnsi" w:cstheme="minorHAnsi"/>
        </w:rPr>
        <w:t xml:space="preserve"> approche présente des limites.</w:t>
      </w:r>
      <w:r w:rsidRPr="00E24D1E">
        <w:rPr>
          <w:rFonts w:asciiTheme="minorHAnsi" w:eastAsia="Times New Roman" w:hAnsiTheme="minorHAnsi" w:cstheme="minorHAnsi"/>
        </w:rPr>
        <w:t xml:space="preserve"> Les logiques d’acteurs (pilotage, gouvernance et accompagnement) sont aujourd’hui considérées comme des dimensions déterminantes pour orienter, maintenir et pérenniser les démarches. En outre, une vision plus exigeante des démarches d’EIT vise à doter les entreprises d'une capacité à faire face aux risques et aléas productifs, grâce notamment à la construction collective de ressources matérielles et immatérielles. Ceci implique une modification profonde des comportements et des </w:t>
      </w:r>
      <w:r w:rsidR="00C3416B" w:rsidRPr="00E24D1E">
        <w:rPr>
          <w:rFonts w:asciiTheme="minorHAnsi" w:eastAsia="Times New Roman" w:hAnsiTheme="minorHAnsi" w:cstheme="minorHAnsi"/>
        </w:rPr>
        <w:t>modalités d’action</w:t>
      </w:r>
      <w:r w:rsidRPr="00E24D1E">
        <w:rPr>
          <w:rFonts w:asciiTheme="minorHAnsi" w:eastAsia="Times New Roman" w:hAnsiTheme="minorHAnsi" w:cstheme="minorHAnsi"/>
        </w:rPr>
        <w:t xml:space="preserve"> pour ne plus mettre autant l'accent sur les seuls dispositifs techniques et leur coût, et mettre en avant la question des acteurs, des usages et des coopérations. </w:t>
      </w:r>
      <w:r w:rsidRPr="008922BB">
        <w:rPr>
          <w:rFonts w:asciiTheme="minorHAnsi" w:eastAsia="Times New Roman" w:hAnsiTheme="minorHAnsi" w:cstheme="minorHAnsi"/>
          <w:b/>
          <w:color w:val="3171D2"/>
        </w:rPr>
        <w:t>Les acteurs et leurs réseaux deviennent ainsi le centre névralgique des démarches</w:t>
      </w:r>
      <w:r w:rsidRPr="00E24D1E">
        <w:rPr>
          <w:rFonts w:asciiTheme="minorHAnsi" w:eastAsia="Times New Roman" w:hAnsiTheme="minorHAnsi" w:cstheme="minorHAnsi"/>
        </w:rPr>
        <w:t xml:space="preserve">. </w:t>
      </w:r>
    </w:p>
    <w:p w14:paraId="4F6B25C8" w14:textId="77777777" w:rsidR="008922BB" w:rsidRPr="00E12E1E" w:rsidRDefault="00313DCB" w:rsidP="008922BB">
      <w:pPr>
        <w:spacing w:after="280" w:line="240" w:lineRule="auto"/>
        <w:jc w:val="both"/>
        <w:rPr>
          <w:rFonts w:asciiTheme="minorHAnsi" w:eastAsia="Times New Roman" w:hAnsiTheme="minorHAnsi" w:cstheme="minorHAnsi"/>
          <w:b/>
          <w:color w:val="EB6909"/>
        </w:rPr>
      </w:pPr>
      <w:r w:rsidRPr="00E12E1E">
        <w:rPr>
          <w:rFonts w:asciiTheme="minorHAnsi" w:eastAsia="Times New Roman" w:hAnsiTheme="minorHAnsi" w:cstheme="minorHAnsi"/>
          <w:b/>
          <w:color w:val="EB6909"/>
        </w:rPr>
        <w:t>Deux éléments apparaissent ici fondamentaux :</w:t>
      </w:r>
    </w:p>
    <w:p w14:paraId="30E1B99A" w14:textId="77777777" w:rsidR="008922BB" w:rsidRPr="00E12E1E" w:rsidRDefault="00313DCB" w:rsidP="008922BB">
      <w:pPr>
        <w:pStyle w:val="Paragraphedeliste"/>
        <w:numPr>
          <w:ilvl w:val="0"/>
          <w:numId w:val="9"/>
        </w:numPr>
        <w:spacing w:after="280" w:line="240" w:lineRule="auto"/>
        <w:ind w:left="567" w:firstLine="0"/>
        <w:jc w:val="both"/>
        <w:rPr>
          <w:rFonts w:asciiTheme="minorHAnsi" w:hAnsiTheme="minorHAnsi" w:cstheme="minorHAnsi"/>
          <w:b/>
          <w:color w:val="EB6909"/>
        </w:rPr>
      </w:pPr>
      <w:r w:rsidRPr="00E12E1E">
        <w:rPr>
          <w:rFonts w:asciiTheme="minorHAnsi" w:eastAsia="Times New Roman" w:hAnsiTheme="minorHAnsi" w:cstheme="minorHAnsi"/>
          <w:b/>
          <w:color w:val="EB6909"/>
        </w:rPr>
        <w:t xml:space="preserve">La capacité, grâce à l’action collective, pour les acteurs à définir et faire vivre un projet de développement pérenne et viable qui concilie la dimension de mise en valeur durable et la dimension d'équité. </w:t>
      </w:r>
    </w:p>
    <w:p w14:paraId="37B06B46" w14:textId="40A7E24B" w:rsidR="00882764" w:rsidRPr="00E12E1E" w:rsidRDefault="00313DCB" w:rsidP="008922BB">
      <w:pPr>
        <w:pStyle w:val="Paragraphedeliste"/>
        <w:numPr>
          <w:ilvl w:val="0"/>
          <w:numId w:val="9"/>
        </w:numPr>
        <w:spacing w:after="280" w:line="240" w:lineRule="auto"/>
        <w:ind w:left="567" w:firstLine="0"/>
        <w:jc w:val="both"/>
        <w:rPr>
          <w:rFonts w:asciiTheme="minorHAnsi" w:hAnsiTheme="minorHAnsi" w:cstheme="minorHAnsi"/>
          <w:b/>
          <w:color w:val="EB6909"/>
        </w:rPr>
      </w:pPr>
      <w:r w:rsidRPr="00E12E1E">
        <w:rPr>
          <w:rFonts w:asciiTheme="minorHAnsi" w:eastAsia="Times New Roman" w:hAnsiTheme="minorHAnsi" w:cstheme="minorHAnsi"/>
          <w:b/>
          <w:color w:val="EB6909"/>
        </w:rPr>
        <w:lastRenderedPageBreak/>
        <w:t>La réversibilité</w:t>
      </w:r>
      <w:r w:rsidR="00E8160A" w:rsidRPr="00E8160A">
        <w:rPr>
          <w:rStyle w:val="Appelnotedebasdep"/>
          <w:rFonts w:asciiTheme="minorHAnsi" w:eastAsia="Times New Roman" w:hAnsiTheme="minorHAnsi" w:cstheme="minorHAnsi"/>
          <w:b/>
          <w:color w:val="3171D2"/>
        </w:rPr>
        <w:footnoteReference w:id="3"/>
      </w:r>
      <w:r w:rsidRPr="00E8160A">
        <w:rPr>
          <w:rFonts w:asciiTheme="minorHAnsi" w:eastAsia="Times New Roman" w:hAnsiTheme="minorHAnsi" w:cstheme="minorHAnsi"/>
          <w:b/>
          <w:color w:val="3171D2"/>
        </w:rPr>
        <w:t xml:space="preserve"> </w:t>
      </w:r>
      <w:r w:rsidRPr="00E12E1E">
        <w:rPr>
          <w:rFonts w:asciiTheme="minorHAnsi" w:eastAsia="Times New Roman" w:hAnsiTheme="minorHAnsi" w:cstheme="minorHAnsi"/>
          <w:b/>
          <w:color w:val="EB6909"/>
        </w:rPr>
        <w:t>du modèle et sa capacité à évoluer et à faire face à différents risques ou chocs en fonction des ressources activables par le territoire (connaissances communes, innovations, complémentarité des compétences…) : partagées et enrichies, elles constituent un patrimoine commun pour les acteurs.</w:t>
      </w:r>
    </w:p>
    <w:p w14:paraId="06103FDD" w14:textId="77777777" w:rsidR="00882764" w:rsidRPr="00E24D1E" w:rsidRDefault="00313DCB" w:rsidP="008922BB">
      <w:pPr>
        <w:spacing w:before="240" w:after="280" w:line="240" w:lineRule="auto"/>
        <w:jc w:val="both"/>
        <w:rPr>
          <w:rFonts w:asciiTheme="minorHAnsi" w:hAnsiTheme="minorHAnsi" w:cstheme="minorHAnsi"/>
        </w:rPr>
      </w:pPr>
      <w:r w:rsidRPr="00E24D1E">
        <w:rPr>
          <w:rFonts w:asciiTheme="minorHAnsi" w:eastAsia="Times New Roman" w:hAnsiTheme="minorHAnsi" w:cstheme="minorHAnsi"/>
        </w:rPr>
        <w:t xml:space="preserve">Pour créer et pérenniser les conditions de développement territorial durable, </w:t>
      </w:r>
      <w:r w:rsidRPr="008922BB">
        <w:rPr>
          <w:rFonts w:asciiTheme="minorHAnsi" w:eastAsia="Times New Roman" w:hAnsiTheme="minorHAnsi" w:cstheme="minorHAnsi"/>
          <w:b/>
          <w:color w:val="3171D2"/>
        </w:rPr>
        <w:t>la gouvernance des démarches sera essentielle à toutes les échelles (celle des entreprises et celle des territoires)</w:t>
      </w:r>
      <w:r w:rsidRPr="008922BB">
        <w:rPr>
          <w:rFonts w:asciiTheme="minorHAnsi" w:eastAsia="Times New Roman" w:hAnsiTheme="minorHAnsi" w:cstheme="minorHAnsi"/>
          <w:color w:val="3171D2"/>
        </w:rPr>
        <w:t xml:space="preserve"> </w:t>
      </w:r>
      <w:r w:rsidRPr="00E24D1E">
        <w:rPr>
          <w:rFonts w:asciiTheme="minorHAnsi" w:eastAsia="Times New Roman" w:hAnsiTheme="minorHAnsi" w:cstheme="minorHAnsi"/>
        </w:rPr>
        <w:t xml:space="preserve">et engagera des ressources mais aussi des dispositifs, formels ou informels, qu'il s'agira là-aussi d’élaborer de manière commune, de piloter et de faire évoluer. Dans ce contexte, </w:t>
      </w:r>
      <w:r w:rsidRPr="008922BB">
        <w:rPr>
          <w:rFonts w:asciiTheme="minorHAnsi" w:eastAsia="Times New Roman" w:hAnsiTheme="minorHAnsi" w:cstheme="minorHAnsi"/>
          <w:b/>
          <w:color w:val="3171D2"/>
        </w:rPr>
        <w:t xml:space="preserve">la </w:t>
      </w:r>
      <w:proofErr w:type="spellStart"/>
      <w:r w:rsidRPr="008922BB">
        <w:rPr>
          <w:rFonts w:asciiTheme="minorHAnsi" w:eastAsia="Times New Roman" w:hAnsiTheme="minorHAnsi" w:cstheme="minorHAnsi"/>
          <w:b/>
          <w:color w:val="3171D2"/>
        </w:rPr>
        <w:t>co-évolution</w:t>
      </w:r>
      <w:proofErr w:type="spellEnd"/>
      <w:r w:rsidRPr="008922BB">
        <w:rPr>
          <w:rFonts w:asciiTheme="minorHAnsi" w:eastAsia="Times New Roman" w:hAnsiTheme="minorHAnsi" w:cstheme="minorHAnsi"/>
          <w:b/>
          <w:color w:val="3171D2"/>
        </w:rPr>
        <w:t xml:space="preserve"> des entreprises et du territoire dans le respect des équilibres des écosystèmes</w:t>
      </w:r>
      <w:r w:rsidRPr="00E24D1E">
        <w:rPr>
          <w:rFonts w:asciiTheme="minorHAnsi" w:eastAsia="Times New Roman" w:hAnsiTheme="minorHAnsi" w:cstheme="minorHAnsi"/>
        </w:rPr>
        <w:t xml:space="preserve"> devient possible, on parle alors de </w:t>
      </w:r>
      <w:r w:rsidRPr="008922BB">
        <w:rPr>
          <w:rFonts w:asciiTheme="minorHAnsi" w:eastAsia="Times New Roman" w:hAnsiTheme="minorHAnsi" w:cstheme="minorHAnsi"/>
          <w:b/>
          <w:color w:val="3171D2"/>
        </w:rPr>
        <w:t>durabilité forte</w:t>
      </w:r>
      <w:r w:rsidRPr="00E24D1E">
        <w:rPr>
          <w:rFonts w:asciiTheme="minorHAnsi" w:eastAsia="Times New Roman" w:hAnsiTheme="minorHAnsi" w:cstheme="minorHAnsi"/>
        </w:rPr>
        <w:t>.</w:t>
      </w:r>
    </w:p>
    <w:p w14:paraId="386EB62F" w14:textId="36B50B2C" w:rsidR="00882764" w:rsidRPr="00E24D1E" w:rsidRDefault="00313DCB">
      <w:pPr>
        <w:spacing w:after="280" w:line="240" w:lineRule="auto"/>
        <w:jc w:val="both"/>
        <w:rPr>
          <w:rFonts w:asciiTheme="minorHAnsi" w:hAnsiTheme="minorHAnsi" w:cstheme="minorHAnsi"/>
        </w:rPr>
      </w:pPr>
      <w:r w:rsidRPr="00E24D1E">
        <w:rPr>
          <w:rFonts w:asciiTheme="minorHAnsi" w:eastAsia="Times New Roman" w:hAnsiTheme="minorHAnsi" w:cstheme="minorHAnsi"/>
        </w:rPr>
        <w:t>Si des grilles ou méthodologies sont dans ce sens proposées pour l’analyse des jeux d’acteurs et de la gouvernance, elles ne sont pas toujours intégrées à une évaluation plus globale. P</w:t>
      </w:r>
      <w:r w:rsidR="008922BB">
        <w:rPr>
          <w:rFonts w:asciiTheme="minorHAnsi" w:eastAsia="Times New Roman" w:hAnsiTheme="minorHAnsi" w:cstheme="minorHAnsi"/>
        </w:rPr>
        <w:t>our « </w:t>
      </w:r>
      <w:r w:rsidRPr="00E24D1E">
        <w:rPr>
          <w:rFonts w:asciiTheme="minorHAnsi" w:eastAsia="Times New Roman" w:hAnsiTheme="minorHAnsi" w:cstheme="minorHAnsi"/>
        </w:rPr>
        <w:t>faire territoire</w:t>
      </w:r>
      <w:r w:rsidR="008922BB">
        <w:rPr>
          <w:rFonts w:asciiTheme="minorHAnsi" w:eastAsia="Times New Roman" w:hAnsiTheme="minorHAnsi" w:cstheme="minorHAnsi"/>
        </w:rPr>
        <w:t> »</w:t>
      </w:r>
      <w:r w:rsidRPr="00E24D1E">
        <w:rPr>
          <w:rFonts w:asciiTheme="minorHAnsi" w:eastAsia="Times New Roman" w:hAnsiTheme="minorHAnsi" w:cstheme="minorHAnsi"/>
        </w:rPr>
        <w:t xml:space="preserve">, les démarches d’EIT doivent cependant articuler les enjeux précités qui, ensemble, contribuent à la mise en </w:t>
      </w:r>
      <w:r w:rsidR="008922BB" w:rsidRPr="00E24D1E">
        <w:rPr>
          <w:rFonts w:asciiTheme="minorHAnsi" w:eastAsia="Times New Roman" w:hAnsiTheme="minorHAnsi" w:cstheme="minorHAnsi"/>
        </w:rPr>
        <w:t>œuvre</w:t>
      </w:r>
      <w:r w:rsidRPr="00E24D1E">
        <w:rPr>
          <w:rFonts w:asciiTheme="minorHAnsi" w:eastAsia="Times New Roman" w:hAnsiTheme="minorHAnsi" w:cstheme="minorHAnsi"/>
        </w:rPr>
        <w:t xml:space="preserve"> d’un projet de territoire commun plus exigeant en matière de durabilité.</w:t>
      </w:r>
    </w:p>
    <w:p w14:paraId="3BEB4CE7" w14:textId="2CBE2ED9" w:rsidR="001214B3" w:rsidRDefault="00313DCB" w:rsidP="001214B3">
      <w:pPr>
        <w:spacing w:after="280" w:line="240" w:lineRule="auto"/>
        <w:jc w:val="both"/>
        <w:rPr>
          <w:rFonts w:asciiTheme="minorHAnsi" w:eastAsia="Times New Roman" w:hAnsiTheme="minorHAnsi" w:cstheme="minorHAnsi"/>
        </w:rPr>
      </w:pPr>
      <w:r w:rsidRPr="00E24D1E">
        <w:rPr>
          <w:rFonts w:asciiTheme="minorHAnsi" w:eastAsia="Times New Roman" w:hAnsiTheme="minorHAnsi" w:cstheme="minorHAnsi"/>
        </w:rPr>
        <w:t xml:space="preserve">Enfin, pour initier ou maintenir un processus de développement territorial </w:t>
      </w:r>
      <w:r w:rsidR="008922BB">
        <w:rPr>
          <w:rFonts w:asciiTheme="minorHAnsi" w:eastAsia="Times New Roman" w:hAnsiTheme="minorHAnsi" w:cstheme="minorHAnsi"/>
        </w:rPr>
        <w:t>« authentiquement durable »</w:t>
      </w:r>
      <w:r w:rsidRPr="00873771">
        <w:rPr>
          <w:rFonts w:asciiTheme="minorHAnsi" w:eastAsia="Times New Roman" w:hAnsiTheme="minorHAnsi" w:cstheme="minorHAnsi"/>
          <w:color w:val="3171D2"/>
          <w:vertAlign w:val="superscript"/>
        </w:rPr>
        <w:footnoteReference w:id="4"/>
      </w:r>
      <w:r w:rsidRPr="00E24D1E">
        <w:rPr>
          <w:rFonts w:asciiTheme="minorHAnsi" w:eastAsia="Times New Roman" w:hAnsiTheme="minorHAnsi" w:cstheme="minorHAnsi"/>
        </w:rPr>
        <w:t xml:space="preserve">, certaines conditions doivent être remplies. Le référentiel est en ce sens un moyen d'évaluer la durabilité de la démarche et son degré de maturité. Toutes les étapes d’une démarche (de sa conception, aux premiers résultats et </w:t>
      </w:r>
      <w:r w:rsidR="00E8160A">
        <w:rPr>
          <w:rFonts w:asciiTheme="minorHAnsi" w:eastAsia="Times New Roman" w:hAnsiTheme="minorHAnsi" w:cstheme="minorHAnsi"/>
        </w:rPr>
        <w:t>sa pérennisation</w:t>
      </w:r>
      <w:r w:rsidRPr="00E24D1E">
        <w:rPr>
          <w:rFonts w:asciiTheme="minorHAnsi" w:eastAsia="Times New Roman" w:hAnsiTheme="minorHAnsi" w:cstheme="minorHAnsi"/>
        </w:rPr>
        <w:t>) sont intéressantes à évaluer :</w:t>
      </w:r>
      <w:r w:rsidRPr="008922BB">
        <w:rPr>
          <w:rFonts w:asciiTheme="minorHAnsi" w:eastAsia="Times New Roman" w:hAnsiTheme="minorHAnsi" w:cstheme="minorHAnsi"/>
          <w:color w:val="auto"/>
        </w:rPr>
        <w:t xml:space="preserve"> l'évaluation ne peut se réduire à une seule étape mais doit bien s’insérer dans un </w:t>
      </w:r>
      <w:r w:rsidRPr="008922BB">
        <w:rPr>
          <w:rFonts w:asciiTheme="minorHAnsi" w:eastAsia="Times New Roman" w:hAnsiTheme="minorHAnsi" w:cstheme="minorHAnsi"/>
          <w:b/>
          <w:color w:val="3171D2"/>
        </w:rPr>
        <w:t>processus d’amélioration continue</w:t>
      </w:r>
      <w:r w:rsidRPr="00E24D1E">
        <w:rPr>
          <w:rFonts w:asciiTheme="minorHAnsi" w:eastAsia="Times New Roman" w:hAnsiTheme="minorHAnsi" w:cstheme="minorHAnsi"/>
        </w:rPr>
        <w:t xml:space="preserve">. La manière d'évaluer est également constitutive de la démarche d'évaluation. L'utilisation d'une </w:t>
      </w:r>
      <w:r w:rsidR="007E1E61" w:rsidRPr="008922BB">
        <w:rPr>
          <w:rFonts w:asciiTheme="minorHAnsi" w:eastAsia="Times New Roman" w:hAnsiTheme="minorHAnsi" w:cstheme="minorHAnsi"/>
          <w:b/>
          <w:color w:val="3171D2"/>
        </w:rPr>
        <w:t xml:space="preserve">approche </w:t>
      </w:r>
      <w:r w:rsidRPr="008922BB">
        <w:rPr>
          <w:rFonts w:asciiTheme="minorHAnsi" w:eastAsia="Times New Roman" w:hAnsiTheme="minorHAnsi" w:cstheme="minorHAnsi"/>
          <w:b/>
          <w:color w:val="3171D2"/>
        </w:rPr>
        <w:t>multicritère</w:t>
      </w:r>
      <w:r w:rsidRPr="008922BB">
        <w:rPr>
          <w:rFonts w:asciiTheme="minorHAnsi" w:eastAsia="Times New Roman" w:hAnsiTheme="minorHAnsi" w:cstheme="minorHAnsi"/>
          <w:color w:val="3171D2"/>
        </w:rPr>
        <w:t xml:space="preserve"> </w:t>
      </w:r>
      <w:r w:rsidRPr="00E24D1E">
        <w:rPr>
          <w:rFonts w:asciiTheme="minorHAnsi" w:eastAsia="Times New Roman" w:hAnsiTheme="minorHAnsi" w:cstheme="minorHAnsi"/>
        </w:rPr>
        <w:t xml:space="preserve">permet d'introduire une dimension plurielle et de mettre en avant les seuils de basculement dans le choix des actions, d'autant plus si les indicateurs peuvent être définis collectivement au moment de l'évaluation. En effet, la dimension de </w:t>
      </w:r>
      <w:r w:rsidRPr="008922BB">
        <w:rPr>
          <w:rFonts w:asciiTheme="minorHAnsi" w:eastAsia="Times New Roman" w:hAnsiTheme="minorHAnsi" w:cstheme="minorHAnsi"/>
          <w:b/>
          <w:color w:val="3171D2"/>
        </w:rPr>
        <w:t>co-évaluation</w:t>
      </w:r>
      <w:r w:rsidRPr="008922BB">
        <w:rPr>
          <w:rFonts w:asciiTheme="minorHAnsi" w:eastAsia="Times New Roman" w:hAnsiTheme="minorHAnsi" w:cstheme="minorHAnsi"/>
          <w:color w:val="3171D2"/>
        </w:rPr>
        <w:t xml:space="preserve"> </w:t>
      </w:r>
      <w:r w:rsidRPr="00E24D1E">
        <w:rPr>
          <w:rFonts w:asciiTheme="minorHAnsi" w:eastAsia="Times New Roman" w:hAnsiTheme="minorHAnsi" w:cstheme="minorHAnsi"/>
        </w:rPr>
        <w:t>est essentielle parce qu’elle permet de mettre en débat les attentes et les bénéfices attendus, ainsi que les modalités de mise en œuvre</w:t>
      </w:r>
      <w:r w:rsidR="007E1E61" w:rsidRPr="00E24D1E">
        <w:rPr>
          <w:rFonts w:asciiTheme="minorHAnsi" w:eastAsia="Times New Roman" w:hAnsiTheme="minorHAnsi" w:cstheme="minorHAnsi"/>
        </w:rPr>
        <w:t>.</w:t>
      </w:r>
      <w:r w:rsidR="00AA4946">
        <w:rPr>
          <w:rFonts w:asciiTheme="minorHAnsi" w:eastAsia="Times New Roman" w:hAnsiTheme="minorHAnsi" w:cstheme="minorHAnsi"/>
        </w:rPr>
        <w:t xml:space="preserve"> </w:t>
      </w:r>
      <w:r w:rsidRPr="00E24D1E">
        <w:rPr>
          <w:rFonts w:asciiTheme="minorHAnsi" w:eastAsia="Times New Roman" w:hAnsiTheme="minorHAnsi" w:cstheme="minorHAnsi"/>
        </w:rPr>
        <w:t xml:space="preserve">Elle permet </w:t>
      </w:r>
      <w:r w:rsidR="00AA4946">
        <w:rPr>
          <w:rFonts w:asciiTheme="minorHAnsi" w:eastAsia="Times New Roman" w:hAnsiTheme="minorHAnsi" w:cstheme="minorHAnsi"/>
        </w:rPr>
        <w:t xml:space="preserve">ainsi de légitimer la démarche </w:t>
      </w:r>
      <w:r w:rsidRPr="00E24D1E">
        <w:rPr>
          <w:rFonts w:asciiTheme="minorHAnsi" w:eastAsia="Times New Roman" w:hAnsiTheme="minorHAnsi" w:cstheme="minorHAnsi"/>
        </w:rPr>
        <w:t xml:space="preserve">par un processus et un consensus collectifs autour </w:t>
      </w:r>
      <w:r w:rsidR="007E1E61" w:rsidRPr="00E24D1E">
        <w:rPr>
          <w:rFonts w:asciiTheme="minorHAnsi" w:eastAsia="Times New Roman" w:hAnsiTheme="minorHAnsi" w:cstheme="minorHAnsi"/>
        </w:rPr>
        <w:t>d’</w:t>
      </w:r>
      <w:r w:rsidRPr="00E24D1E">
        <w:rPr>
          <w:rFonts w:asciiTheme="minorHAnsi" w:eastAsia="Times New Roman" w:hAnsiTheme="minorHAnsi" w:cstheme="minorHAnsi"/>
        </w:rPr>
        <w:t>objectifs qui tient compte des problématiques propres et intérêts de l'ensemble des acteurs : collectivités et acteurs publics (enjeu de développement territorial et de durabilité), entreprises (enjeux de compétitivité, d'attractivité du territoire, ou de création d’emploi…), autres parties prenantes (</w:t>
      </w:r>
      <w:r w:rsidR="0046082E" w:rsidRPr="00E24D1E">
        <w:rPr>
          <w:rFonts w:asciiTheme="minorHAnsi" w:eastAsia="Times New Roman" w:hAnsiTheme="minorHAnsi" w:cstheme="minorHAnsi"/>
        </w:rPr>
        <w:t xml:space="preserve">enjeux de cadre de vie, de bien-être des </w:t>
      </w:r>
      <w:proofErr w:type="spellStart"/>
      <w:r w:rsidRPr="00E24D1E">
        <w:rPr>
          <w:rFonts w:asciiTheme="minorHAnsi" w:eastAsia="Times New Roman" w:hAnsiTheme="minorHAnsi" w:cstheme="minorHAnsi"/>
        </w:rPr>
        <w:t>ONGs</w:t>
      </w:r>
      <w:proofErr w:type="spellEnd"/>
      <w:r w:rsidRPr="00E24D1E">
        <w:rPr>
          <w:rFonts w:asciiTheme="minorHAnsi" w:eastAsia="Times New Roman" w:hAnsiTheme="minorHAnsi" w:cstheme="minorHAnsi"/>
        </w:rPr>
        <w:t>, habitants...).</w:t>
      </w:r>
    </w:p>
    <w:p w14:paraId="77411BF4" w14:textId="4A79BDD9" w:rsidR="001214B3" w:rsidRDefault="001214B3">
      <w:pPr>
        <w:rPr>
          <w:rFonts w:asciiTheme="minorHAnsi" w:eastAsia="Times New Roman" w:hAnsiTheme="minorHAnsi" w:cstheme="minorHAnsi"/>
        </w:rPr>
      </w:pPr>
      <w:r>
        <w:rPr>
          <w:rFonts w:asciiTheme="minorHAnsi" w:eastAsia="Times New Roman" w:hAnsiTheme="minorHAnsi" w:cstheme="minorHAnsi"/>
        </w:rPr>
        <w:br w:type="page"/>
      </w:r>
    </w:p>
    <w:p w14:paraId="71A98EB3" w14:textId="0E34C652" w:rsidR="008922BB" w:rsidRPr="001214B3" w:rsidRDefault="008922BB" w:rsidP="008922BB">
      <w:pPr>
        <w:pStyle w:val="Paragraphedeliste"/>
        <w:numPr>
          <w:ilvl w:val="0"/>
          <w:numId w:val="8"/>
        </w:numPr>
        <w:spacing w:after="280" w:line="240" w:lineRule="auto"/>
        <w:rPr>
          <w:rFonts w:asciiTheme="minorHAnsi" w:hAnsiTheme="minorHAnsi" w:cstheme="minorHAnsi"/>
          <w:color w:val="EB6909"/>
          <w:sz w:val="28"/>
        </w:rPr>
      </w:pPr>
      <w:r w:rsidRPr="001214B3">
        <w:rPr>
          <w:rFonts w:asciiTheme="minorHAnsi" w:eastAsia="Times New Roman" w:hAnsiTheme="minorHAnsi" w:cstheme="minorHAnsi"/>
          <w:noProof/>
          <w:color w:val="EB6909"/>
          <w:sz w:val="28"/>
        </w:rPr>
        <w:lastRenderedPageBreak/>
        <mc:AlternateContent>
          <mc:Choice Requires="wps">
            <w:drawing>
              <wp:anchor distT="0" distB="0" distL="114300" distR="114300" simplePos="0" relativeHeight="251663360" behindDoc="1" locked="0" layoutInCell="1" allowOverlap="1" wp14:anchorId="2C056BCC" wp14:editId="3711F0A0">
                <wp:simplePos x="0" y="0"/>
                <wp:positionH relativeFrom="margin">
                  <wp:align>left</wp:align>
                </wp:positionH>
                <wp:positionV relativeFrom="paragraph">
                  <wp:posOffset>-47826</wp:posOffset>
                </wp:positionV>
                <wp:extent cx="360000" cy="360000"/>
                <wp:effectExtent l="0" t="0" r="2540" b="2540"/>
                <wp:wrapNone/>
                <wp:docPr id="40" name="Ellipse 40"/>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EB69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C0E79" w14:textId="77777777" w:rsidR="001214B3" w:rsidRDefault="001214B3" w:rsidP="00121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56BCC" id="Ellipse 40" o:spid="_x0000_s1028" style="position:absolute;left:0;text-align:left;margin-left:0;margin-top:-3.75pt;width:28.35pt;height:28.3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" fillcolor="#eb6909" stroked="f" strokeweight="1pt">
                <v:stroke joinstyle="miter"/>
                <v:textbox>
                  <w:txbxContent>
                    <w:p w14:paraId="3EDC0E79" w14:textId="77777777" w:rsidR="001214B3" w:rsidRDefault="001214B3" w:rsidP="001214B3">
                      <w:pPr>
                        <w:jc w:val="center"/>
                      </w:pPr>
                    </w:p>
                  </w:txbxContent>
                </v:textbox>
                <w10:wrap anchorx="margin"/>
              </v:oval>
            </w:pict>
          </mc:Fallback>
        </mc:AlternateContent>
      </w:r>
      <w:r w:rsidRPr="001214B3">
        <w:rPr>
          <w:rFonts w:asciiTheme="minorHAnsi" w:eastAsia="Times New Roman" w:hAnsiTheme="minorHAnsi" w:cstheme="minorHAnsi"/>
          <w:color w:val="EB6909"/>
          <w:sz w:val="28"/>
        </w:rPr>
        <w:t>Intégration de la durabilité dans le Référentiel ELIPSE,</w:t>
      </w:r>
      <w:r w:rsidR="00AA4946">
        <w:rPr>
          <w:rFonts w:asciiTheme="minorHAnsi" w:eastAsia="Times New Roman" w:hAnsiTheme="minorHAnsi" w:cstheme="minorHAnsi"/>
          <w:color w:val="EB6909"/>
          <w:sz w:val="28"/>
        </w:rPr>
        <w:t xml:space="preserve"> résultats, points de vigilance</w:t>
      </w:r>
      <w:r w:rsidRPr="001214B3">
        <w:rPr>
          <w:rFonts w:asciiTheme="minorHAnsi" w:eastAsia="Times New Roman" w:hAnsiTheme="minorHAnsi" w:cstheme="minorHAnsi"/>
          <w:color w:val="EB6909"/>
          <w:sz w:val="28"/>
        </w:rPr>
        <w:t xml:space="preserve"> et perspectives</w:t>
      </w:r>
    </w:p>
    <w:p w14:paraId="7D4052E8" w14:textId="665F49AA" w:rsidR="00882764" w:rsidRPr="00E24D1E" w:rsidRDefault="00313DCB">
      <w:pPr>
        <w:spacing w:after="280" w:line="240" w:lineRule="auto"/>
        <w:ind w:left="-6"/>
        <w:jc w:val="both"/>
        <w:rPr>
          <w:rFonts w:asciiTheme="minorHAnsi" w:hAnsiTheme="minorHAnsi" w:cstheme="minorHAnsi"/>
        </w:rPr>
      </w:pPr>
      <w:r w:rsidRPr="00E24D1E">
        <w:rPr>
          <w:rFonts w:asciiTheme="minorHAnsi" w:eastAsia="Times New Roman" w:hAnsiTheme="minorHAnsi" w:cstheme="minorHAnsi"/>
        </w:rPr>
        <w:t xml:space="preserve">L’architecture </w:t>
      </w:r>
      <w:r w:rsidR="001214B3">
        <w:rPr>
          <w:rFonts w:asciiTheme="minorHAnsi" w:eastAsia="Times New Roman" w:hAnsiTheme="minorHAnsi" w:cstheme="minorHAnsi"/>
        </w:rPr>
        <w:t xml:space="preserve">(cf. schéma p.1) </w:t>
      </w:r>
      <w:r w:rsidR="0046082E" w:rsidRPr="00E24D1E">
        <w:rPr>
          <w:rFonts w:asciiTheme="minorHAnsi" w:eastAsia="Times New Roman" w:hAnsiTheme="minorHAnsi" w:cstheme="minorHAnsi"/>
        </w:rPr>
        <w:t xml:space="preserve">qui </w:t>
      </w:r>
      <w:r w:rsidRPr="00E24D1E">
        <w:rPr>
          <w:rFonts w:asciiTheme="minorHAnsi" w:eastAsia="Times New Roman" w:hAnsiTheme="minorHAnsi" w:cstheme="minorHAnsi"/>
        </w:rPr>
        <w:t xml:space="preserve">a été proposée pour le Référentiel ELIPSE </w:t>
      </w:r>
      <w:r w:rsidR="0046082E" w:rsidRPr="00E24D1E">
        <w:rPr>
          <w:rFonts w:asciiTheme="minorHAnsi" w:eastAsia="Times New Roman" w:hAnsiTheme="minorHAnsi" w:cstheme="minorHAnsi"/>
        </w:rPr>
        <w:t xml:space="preserve">vise à </w:t>
      </w:r>
      <w:r w:rsidRPr="00E24D1E">
        <w:rPr>
          <w:rFonts w:asciiTheme="minorHAnsi" w:eastAsia="Times New Roman" w:hAnsiTheme="minorHAnsi" w:cstheme="minorHAnsi"/>
        </w:rPr>
        <w:t xml:space="preserve">répondre à </w:t>
      </w:r>
      <w:r w:rsidR="00E578F5" w:rsidRPr="00E24D1E">
        <w:rPr>
          <w:rFonts w:asciiTheme="minorHAnsi" w:eastAsia="Times New Roman" w:hAnsiTheme="minorHAnsi" w:cstheme="minorHAnsi"/>
        </w:rPr>
        <w:t>l’</w:t>
      </w:r>
      <w:r w:rsidRPr="00E24D1E">
        <w:rPr>
          <w:rFonts w:asciiTheme="minorHAnsi" w:eastAsia="Times New Roman" w:hAnsiTheme="minorHAnsi" w:cstheme="minorHAnsi"/>
        </w:rPr>
        <w:t>ensemble de ces enjeux, tout en prenant en compte le point de vue des entreprises et celui des territoires</w:t>
      </w:r>
      <w:r w:rsidR="0046082E" w:rsidRPr="00E24D1E">
        <w:rPr>
          <w:rFonts w:asciiTheme="minorHAnsi" w:eastAsia="Times New Roman" w:hAnsiTheme="minorHAnsi" w:cstheme="minorHAnsi"/>
        </w:rPr>
        <w:t xml:space="preserve">. </w:t>
      </w:r>
      <w:r w:rsidRPr="00E24D1E">
        <w:rPr>
          <w:rFonts w:asciiTheme="minorHAnsi" w:eastAsia="Times New Roman" w:hAnsiTheme="minorHAnsi" w:cstheme="minorHAnsi"/>
        </w:rPr>
        <w:t xml:space="preserve">Certains indicateurs sont incontournables parce que les actions qu’ils évaluent ne peuvent être omises si la démarche se réclame de l’EIT. Pour les autres, l’utilisateur peut répondre aux indicateurs qu’il souhaite en fonction du contexte de la démarche (périmètre ou acteurs impliqués : système productif ou ensemble du territoire…) et la valorisation qu’il entend faire des résultats, selon qu'ils sont destinés aux entreprises, au comité de pilotage ou au conseil d’administration, ou bien aux élus locaux, ou encore aux financeurs. </w:t>
      </w:r>
    </w:p>
    <w:p w14:paraId="27B978C2" w14:textId="0CDC4692" w:rsidR="00882764" w:rsidRPr="00E24D1E" w:rsidRDefault="00E578F5">
      <w:pPr>
        <w:spacing w:after="280" w:line="240" w:lineRule="auto"/>
        <w:jc w:val="both"/>
        <w:rPr>
          <w:rFonts w:asciiTheme="minorHAnsi" w:hAnsiTheme="minorHAnsi" w:cstheme="minorHAnsi"/>
        </w:rPr>
      </w:pPr>
      <w:r w:rsidRPr="00E24D1E">
        <w:rPr>
          <w:rFonts w:asciiTheme="minorHAnsi" w:eastAsia="Times New Roman" w:hAnsiTheme="minorHAnsi" w:cstheme="minorHAnsi"/>
        </w:rPr>
        <w:t>U</w:t>
      </w:r>
      <w:r w:rsidR="00313DCB" w:rsidRPr="00E24D1E">
        <w:rPr>
          <w:rFonts w:asciiTheme="minorHAnsi" w:eastAsia="Times New Roman" w:hAnsiTheme="minorHAnsi" w:cstheme="minorHAnsi"/>
        </w:rPr>
        <w:t xml:space="preserve">ne enquête auprès des </w:t>
      </w:r>
      <w:r w:rsidRPr="00E24D1E">
        <w:rPr>
          <w:rFonts w:asciiTheme="minorHAnsi" w:eastAsia="Times New Roman" w:hAnsiTheme="minorHAnsi" w:cstheme="minorHAnsi"/>
        </w:rPr>
        <w:t xml:space="preserve">utilisateurs </w:t>
      </w:r>
      <w:r w:rsidR="00313DCB" w:rsidRPr="00E24D1E">
        <w:rPr>
          <w:rFonts w:asciiTheme="minorHAnsi" w:eastAsia="Times New Roman" w:hAnsiTheme="minorHAnsi" w:cstheme="minorHAnsi"/>
        </w:rPr>
        <w:t xml:space="preserve">potentiels du référentiel </w:t>
      </w:r>
      <w:r w:rsidRPr="00E24D1E">
        <w:rPr>
          <w:rFonts w:asciiTheme="minorHAnsi" w:eastAsia="Times New Roman" w:hAnsiTheme="minorHAnsi" w:cstheme="minorHAnsi"/>
        </w:rPr>
        <w:t>a tout d’abord été réalisée afin d’identifier leurs besoins en terme d’évaluation et leur vision de la durabilité d’une démarche. Une première version de référentiel a ainsi été proposée et mi</w:t>
      </w:r>
      <w:r w:rsidR="006B43CB" w:rsidRPr="00E24D1E">
        <w:rPr>
          <w:rFonts w:asciiTheme="minorHAnsi" w:eastAsia="Times New Roman" w:hAnsiTheme="minorHAnsi" w:cstheme="minorHAnsi"/>
        </w:rPr>
        <w:t>s</w:t>
      </w:r>
      <w:r w:rsidRPr="00E24D1E">
        <w:rPr>
          <w:rFonts w:asciiTheme="minorHAnsi" w:eastAsia="Times New Roman" w:hAnsiTheme="minorHAnsi" w:cstheme="minorHAnsi"/>
        </w:rPr>
        <w:t>e en débat à l’occasion d’</w:t>
      </w:r>
      <w:r w:rsidR="00313DCB" w:rsidRPr="00E24D1E">
        <w:rPr>
          <w:rFonts w:asciiTheme="minorHAnsi" w:eastAsia="Times New Roman" w:hAnsiTheme="minorHAnsi" w:cstheme="minorHAnsi"/>
        </w:rPr>
        <w:t>ateliers participatifs avec les acteurs de terrain</w:t>
      </w:r>
      <w:r w:rsidRPr="00E24D1E">
        <w:rPr>
          <w:rFonts w:asciiTheme="minorHAnsi" w:eastAsia="Times New Roman" w:hAnsiTheme="minorHAnsi" w:cstheme="minorHAnsi"/>
        </w:rPr>
        <w:t xml:space="preserve">. </w:t>
      </w:r>
      <w:r w:rsidR="006B43CB" w:rsidRPr="00E24D1E">
        <w:rPr>
          <w:rFonts w:asciiTheme="minorHAnsi" w:eastAsia="Times New Roman" w:hAnsiTheme="minorHAnsi" w:cstheme="minorHAnsi"/>
        </w:rPr>
        <w:t xml:space="preserve">Ensuite, le référentiel a été testé sur plusieurs territoires. </w:t>
      </w:r>
      <w:r w:rsidR="00313DCB" w:rsidRPr="001214B3">
        <w:rPr>
          <w:rFonts w:asciiTheme="minorHAnsi" w:eastAsia="Times New Roman" w:hAnsiTheme="minorHAnsi" w:cstheme="minorHAnsi"/>
          <w:b/>
          <w:color w:val="3171D2"/>
        </w:rPr>
        <w:t xml:space="preserve">Cet effort de co-construction </w:t>
      </w:r>
      <w:r w:rsidRPr="001214B3">
        <w:rPr>
          <w:rFonts w:asciiTheme="minorHAnsi" w:eastAsia="Times New Roman" w:hAnsiTheme="minorHAnsi" w:cstheme="minorHAnsi"/>
          <w:b/>
          <w:color w:val="3171D2"/>
        </w:rPr>
        <w:t xml:space="preserve">du référentiel </w:t>
      </w:r>
      <w:r w:rsidR="00313DCB" w:rsidRPr="001214B3">
        <w:rPr>
          <w:rFonts w:asciiTheme="minorHAnsi" w:eastAsia="Times New Roman" w:hAnsiTheme="minorHAnsi" w:cstheme="minorHAnsi"/>
          <w:b/>
          <w:color w:val="3171D2"/>
        </w:rPr>
        <w:t>a permis de repositionner les ambitions de l'équipe en termes de durabilité selon la maturité et les réalités du terrain</w:t>
      </w:r>
      <w:r w:rsidR="00313DCB" w:rsidRPr="00E24D1E">
        <w:rPr>
          <w:rFonts w:asciiTheme="minorHAnsi" w:eastAsia="Times New Roman" w:hAnsiTheme="minorHAnsi" w:cstheme="minorHAnsi"/>
        </w:rPr>
        <w:t xml:space="preserve">. Il existe en effet un écart notable entre les repères théoriques sur la durabilité et leur opérationnalité. </w:t>
      </w:r>
      <w:r w:rsidR="00E8160A">
        <w:rPr>
          <w:rFonts w:asciiTheme="minorHAnsi" w:eastAsia="Times New Roman" w:hAnsiTheme="minorHAnsi" w:cstheme="minorHAnsi"/>
        </w:rPr>
        <w:t xml:space="preserve">En raison des modèles économiques d’entreprises, des questions de concurrence et de rentabilité, les enjeux de durabilité </w:t>
      </w:r>
      <w:r w:rsidR="00AB4F6A">
        <w:rPr>
          <w:rFonts w:asciiTheme="minorHAnsi" w:eastAsia="Times New Roman" w:hAnsiTheme="minorHAnsi" w:cstheme="minorHAnsi"/>
        </w:rPr>
        <w:t>ne sont pas habituellement pris</w:t>
      </w:r>
      <w:r w:rsidR="00E8160A">
        <w:rPr>
          <w:rFonts w:asciiTheme="minorHAnsi" w:eastAsia="Times New Roman" w:hAnsiTheme="minorHAnsi" w:cstheme="minorHAnsi"/>
        </w:rPr>
        <w:t xml:space="preserve"> en compte dans les </w:t>
      </w:r>
      <w:r w:rsidR="00AB4F6A">
        <w:rPr>
          <w:rFonts w:asciiTheme="minorHAnsi" w:eastAsia="Times New Roman" w:hAnsiTheme="minorHAnsi" w:cstheme="minorHAnsi"/>
        </w:rPr>
        <w:t>réflexions</w:t>
      </w:r>
      <w:r w:rsidR="00E8160A">
        <w:rPr>
          <w:rFonts w:asciiTheme="minorHAnsi" w:eastAsia="Times New Roman" w:hAnsiTheme="minorHAnsi" w:cstheme="minorHAnsi"/>
        </w:rPr>
        <w:t xml:space="preserve"> des acteurs de terrain qui donne</w:t>
      </w:r>
      <w:r w:rsidR="00AB4F6A">
        <w:rPr>
          <w:rFonts w:asciiTheme="minorHAnsi" w:eastAsia="Times New Roman" w:hAnsiTheme="minorHAnsi" w:cstheme="minorHAnsi"/>
        </w:rPr>
        <w:t>nt</w:t>
      </w:r>
      <w:r w:rsidR="00E8160A">
        <w:rPr>
          <w:rFonts w:asciiTheme="minorHAnsi" w:eastAsia="Times New Roman" w:hAnsiTheme="minorHAnsi" w:cstheme="minorHAnsi"/>
        </w:rPr>
        <w:t xml:space="preserve"> priorité aux effets à court terme de leurs activités.</w:t>
      </w:r>
      <w:r w:rsidR="00313DCB" w:rsidRPr="00E24D1E">
        <w:rPr>
          <w:rFonts w:asciiTheme="minorHAnsi" w:eastAsia="Times New Roman" w:hAnsiTheme="minorHAnsi" w:cstheme="minorHAnsi"/>
        </w:rPr>
        <w:t xml:space="preserve"> </w:t>
      </w:r>
    </w:p>
    <w:p w14:paraId="115A624D" w14:textId="1C13DAA0" w:rsidR="00882764" w:rsidRDefault="00313DCB">
      <w:pPr>
        <w:spacing w:after="280" w:line="240" w:lineRule="auto"/>
        <w:jc w:val="both"/>
        <w:rPr>
          <w:rFonts w:asciiTheme="minorHAnsi" w:eastAsia="Times New Roman" w:hAnsiTheme="minorHAnsi" w:cstheme="minorHAnsi"/>
        </w:rPr>
      </w:pPr>
      <w:r w:rsidRPr="00E24D1E">
        <w:rPr>
          <w:rFonts w:asciiTheme="minorHAnsi" w:eastAsia="Times New Roman" w:hAnsiTheme="minorHAnsi" w:cstheme="minorHAnsi"/>
        </w:rPr>
        <w:t xml:space="preserve">Les indicateurs répartis </w:t>
      </w:r>
      <w:r w:rsidR="0046082E" w:rsidRPr="00E24D1E">
        <w:rPr>
          <w:rFonts w:asciiTheme="minorHAnsi" w:eastAsia="Times New Roman" w:hAnsiTheme="minorHAnsi" w:cstheme="minorHAnsi"/>
        </w:rPr>
        <w:t xml:space="preserve">selon </w:t>
      </w:r>
      <w:r w:rsidRPr="00E24D1E">
        <w:rPr>
          <w:rFonts w:asciiTheme="minorHAnsi" w:eastAsia="Times New Roman" w:hAnsiTheme="minorHAnsi" w:cstheme="minorHAnsi"/>
        </w:rPr>
        <w:t xml:space="preserve">les trois principes </w:t>
      </w:r>
      <w:r w:rsidR="0052248F" w:rsidRPr="00E24D1E">
        <w:rPr>
          <w:rFonts w:asciiTheme="minorHAnsi" w:eastAsia="Times New Roman" w:hAnsiTheme="minorHAnsi" w:cstheme="minorHAnsi"/>
        </w:rPr>
        <w:t xml:space="preserve">d’action </w:t>
      </w:r>
      <w:r w:rsidRPr="00E24D1E">
        <w:rPr>
          <w:rFonts w:asciiTheme="minorHAnsi" w:eastAsia="Times New Roman" w:hAnsiTheme="minorHAnsi" w:cstheme="minorHAnsi"/>
        </w:rPr>
        <w:t xml:space="preserve">reflètent l’ambition présentée </w:t>
      </w:r>
      <w:r w:rsidR="0052248F" w:rsidRPr="00E24D1E">
        <w:rPr>
          <w:rFonts w:asciiTheme="minorHAnsi" w:eastAsia="Times New Roman" w:hAnsiTheme="minorHAnsi" w:cstheme="minorHAnsi"/>
        </w:rPr>
        <w:t>ici en matière d’évaluation de l</w:t>
      </w:r>
      <w:r w:rsidR="00873771">
        <w:rPr>
          <w:rFonts w:asciiTheme="minorHAnsi" w:eastAsia="Times New Roman" w:hAnsiTheme="minorHAnsi" w:cstheme="minorHAnsi"/>
        </w:rPr>
        <w:t xml:space="preserve">a durabilité des démarches et conservent encore des </w:t>
      </w:r>
      <w:r w:rsidR="00AB4F6A">
        <w:rPr>
          <w:rFonts w:asciiTheme="minorHAnsi" w:eastAsia="Times New Roman" w:hAnsiTheme="minorHAnsi" w:cstheme="minorHAnsi"/>
        </w:rPr>
        <w:t xml:space="preserve">perspectives pour </w:t>
      </w:r>
      <w:r w:rsidR="00873771">
        <w:rPr>
          <w:rFonts w:asciiTheme="minorHAnsi" w:eastAsia="Times New Roman" w:hAnsiTheme="minorHAnsi" w:cstheme="minorHAnsi"/>
        </w:rPr>
        <w:t xml:space="preserve">mettre en œuvre </w:t>
      </w:r>
      <w:r w:rsidR="00AB4F6A">
        <w:rPr>
          <w:rFonts w:asciiTheme="minorHAnsi" w:eastAsia="Times New Roman" w:hAnsiTheme="minorHAnsi" w:cstheme="minorHAnsi"/>
        </w:rPr>
        <w:t xml:space="preserve">une EIT </w:t>
      </w:r>
      <w:r w:rsidR="00873771">
        <w:rPr>
          <w:rFonts w:asciiTheme="minorHAnsi" w:eastAsia="Times New Roman" w:hAnsiTheme="minorHAnsi" w:cstheme="minorHAnsi"/>
        </w:rPr>
        <w:t xml:space="preserve">totalement </w:t>
      </w:r>
      <w:r w:rsidR="00AB4F6A">
        <w:rPr>
          <w:rFonts w:asciiTheme="minorHAnsi" w:eastAsia="Times New Roman" w:hAnsiTheme="minorHAnsi" w:cstheme="minorHAnsi"/>
        </w:rPr>
        <w:t>à la hauteur de ces enjeux</w:t>
      </w:r>
      <w:r w:rsidR="0052248F" w:rsidRPr="00E24D1E">
        <w:rPr>
          <w:rFonts w:asciiTheme="minorHAnsi" w:eastAsia="Times New Roman" w:hAnsiTheme="minorHAnsi" w:cstheme="minorHAnsi"/>
        </w:rPr>
        <w:t xml:space="preserve"> </w:t>
      </w:r>
      <w:r w:rsidRPr="00E24D1E">
        <w:rPr>
          <w:rFonts w:asciiTheme="minorHAnsi" w:eastAsia="Times New Roman" w:hAnsiTheme="minorHAnsi" w:cstheme="minorHAnsi"/>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C42E01" w14:paraId="7E00A5BD" w14:textId="77777777" w:rsidTr="00601819">
        <w:trPr>
          <w:trHeight w:val="2332"/>
        </w:trPr>
        <w:tc>
          <w:tcPr>
            <w:tcW w:w="1555" w:type="dxa"/>
            <w:vAlign w:val="center"/>
          </w:tcPr>
          <w:p w14:paraId="76CB8EEC" w14:textId="2B86EC7C" w:rsidR="00C42E01" w:rsidRPr="00D06357" w:rsidRDefault="00C42E01" w:rsidP="00C42E01">
            <w:pPr>
              <w:contextualSpacing/>
              <w:jc w:val="center"/>
              <w:rPr>
                <w:rFonts w:asciiTheme="minorHAnsi" w:hAnsiTheme="minorHAnsi" w:cstheme="minorHAnsi"/>
                <w:color w:val="EB6909"/>
                <w:sz w:val="24"/>
              </w:rPr>
            </w:pPr>
            <w:r>
              <w:rPr>
                <w:noProof/>
              </w:rPr>
              <w:drawing>
                <wp:inline distT="0" distB="0" distL="0" distR="0" wp14:anchorId="4B8899C7" wp14:editId="52804507">
                  <wp:extent cx="600075" cy="594360"/>
                  <wp:effectExtent l="0" t="0" r="9525" b="0"/>
                  <wp:docPr id="20"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2"/>
                          <pic:cNvPicPr>
                            <a:picLocks noChangeAspect="1"/>
                          </pic:cNvPicPr>
                        </pic:nvPicPr>
                        <pic:blipFill rotWithShape="1">
                          <a:blip r:embed="rId11">
                            <a:extLst>
                              <a:ext uri="{28A0092B-C50C-407E-A947-70E740481C1C}">
                                <a14:useLocalDpi xmlns:a14="http://schemas.microsoft.com/office/drawing/2010/main" val="0"/>
                              </a:ext>
                            </a:extLst>
                          </a:blip>
                          <a:srcRect b="50274"/>
                          <a:stretch/>
                        </pic:blipFill>
                        <pic:spPr>
                          <a:xfrm>
                            <a:off x="0" y="0"/>
                            <a:ext cx="600075" cy="594360"/>
                          </a:xfrm>
                          <a:prstGeom prst="rect">
                            <a:avLst/>
                          </a:prstGeom>
                        </pic:spPr>
                      </pic:pic>
                    </a:graphicData>
                  </a:graphic>
                </wp:inline>
              </w:drawing>
            </w:r>
            <w:r w:rsidR="005842CA">
              <w:rPr>
                <w:rFonts w:asciiTheme="minorHAnsi" w:eastAsia="Times New Roman" w:hAnsiTheme="minorHAnsi" w:cstheme="minorHAnsi"/>
                <w:b/>
                <w:color w:val="EB6909"/>
                <w:sz w:val="24"/>
              </w:rPr>
              <w:t>Gouvernance</w:t>
            </w:r>
          </w:p>
          <w:p w14:paraId="10ED1FE7" w14:textId="1E2E3B88" w:rsidR="00C42E01" w:rsidRDefault="00C42E01" w:rsidP="00C42E01">
            <w:pPr>
              <w:spacing w:after="280"/>
              <w:jc w:val="center"/>
              <w:rPr>
                <w:rFonts w:asciiTheme="minorHAnsi" w:hAnsiTheme="minorHAnsi" w:cstheme="minorHAnsi"/>
              </w:rPr>
            </w:pPr>
          </w:p>
        </w:tc>
        <w:tc>
          <w:tcPr>
            <w:tcW w:w="7507" w:type="dxa"/>
          </w:tcPr>
          <w:p w14:paraId="6059D2B8" w14:textId="70F5CBBC" w:rsidR="00C42E01" w:rsidRPr="00601819" w:rsidRDefault="00C42E01" w:rsidP="00601819">
            <w:pPr>
              <w:jc w:val="both"/>
              <w:rPr>
                <w:rFonts w:asciiTheme="minorHAnsi" w:hAnsiTheme="minorHAnsi" w:cstheme="minorHAnsi"/>
              </w:rPr>
            </w:pPr>
            <w:r w:rsidRPr="00E24D1E">
              <w:rPr>
                <w:rFonts w:asciiTheme="minorHAnsi" w:eastAsia="Times New Roman" w:hAnsiTheme="minorHAnsi" w:cstheme="minorHAnsi"/>
              </w:rPr>
              <w:t xml:space="preserve">Le Référentiel ELIPSE accorde une grande place à l’évaluation de la </w:t>
            </w:r>
            <w:r w:rsidR="009C26C0">
              <w:rPr>
                <w:rFonts w:asciiTheme="minorHAnsi" w:eastAsia="Times New Roman" w:hAnsiTheme="minorHAnsi" w:cstheme="minorHAnsi"/>
                <w:b/>
                <w:color w:val="EB6909"/>
              </w:rPr>
              <w:t>gouvernance et des</w:t>
            </w:r>
            <w:r w:rsidR="005842CA">
              <w:rPr>
                <w:rFonts w:asciiTheme="minorHAnsi" w:eastAsia="Times New Roman" w:hAnsiTheme="minorHAnsi" w:cstheme="minorHAnsi"/>
                <w:b/>
                <w:color w:val="EB6909"/>
              </w:rPr>
              <w:t xml:space="preserve"> pratiques coopératives</w:t>
            </w:r>
            <w:r w:rsidR="00DD23CE">
              <w:rPr>
                <w:rFonts w:asciiTheme="minorHAnsi" w:eastAsia="Times New Roman" w:hAnsiTheme="minorHAnsi" w:cstheme="minorHAnsi"/>
                <w:b/>
                <w:color w:val="EB6909"/>
              </w:rPr>
              <w:t xml:space="preserve"> </w:t>
            </w:r>
            <w:r w:rsidRPr="00E24D1E">
              <w:rPr>
                <w:rFonts w:asciiTheme="minorHAnsi" w:eastAsia="Times New Roman" w:hAnsiTheme="minorHAnsi" w:cstheme="minorHAnsi"/>
              </w:rPr>
              <w:t xml:space="preserve">: </w:t>
            </w:r>
            <w:r w:rsidR="00A45256">
              <w:rPr>
                <w:rFonts w:asciiTheme="minorHAnsi" w:eastAsia="Times New Roman" w:hAnsiTheme="minorHAnsi" w:cstheme="minorHAnsi"/>
              </w:rPr>
              <w:t>Elle permet d’avoir un regard sur le portage et l’animation de la démarche</w:t>
            </w:r>
            <w:r w:rsidR="00601819">
              <w:rPr>
                <w:rFonts w:asciiTheme="minorHAnsi" w:eastAsia="Times New Roman" w:hAnsiTheme="minorHAnsi" w:cstheme="minorHAnsi"/>
              </w:rPr>
              <w:t xml:space="preserve">. Elle </w:t>
            </w:r>
            <w:r w:rsidR="00A45256">
              <w:rPr>
                <w:rFonts w:asciiTheme="minorHAnsi" w:eastAsia="Times New Roman" w:hAnsiTheme="minorHAnsi" w:cstheme="minorHAnsi"/>
              </w:rPr>
              <w:t xml:space="preserve">challenge le porteur de projet sur l’évolution de cette gouvernance à long terme. Cette rubrique permet de mettre en lumière l’implication des diverses typologies d’acteurs dans les étapes de la </w:t>
            </w:r>
            <w:proofErr w:type="gramStart"/>
            <w:r w:rsidR="00A45256">
              <w:rPr>
                <w:rFonts w:asciiTheme="minorHAnsi" w:eastAsia="Times New Roman" w:hAnsiTheme="minorHAnsi" w:cstheme="minorHAnsi"/>
              </w:rPr>
              <w:t>démarche  (</w:t>
            </w:r>
            <w:proofErr w:type="gramEnd"/>
            <w:r w:rsidR="00A45256">
              <w:rPr>
                <w:rFonts w:asciiTheme="minorHAnsi" w:eastAsia="Times New Roman" w:hAnsiTheme="minorHAnsi" w:cstheme="minorHAnsi"/>
              </w:rPr>
              <w:t xml:space="preserve">pilotage, partenariat, détection de synergies etc.) et permet d’évaluer </w:t>
            </w:r>
            <w:r w:rsidR="00601819">
              <w:rPr>
                <w:rFonts w:asciiTheme="minorHAnsi" w:eastAsia="Times New Roman" w:hAnsiTheme="minorHAnsi" w:cstheme="minorHAnsi"/>
              </w:rPr>
              <w:t xml:space="preserve">l’ancrage des objectifs d’EIT sur le territoire (inscription dans les stratégies locales, </w:t>
            </w:r>
            <w:r w:rsidRPr="00E24D1E">
              <w:rPr>
                <w:rFonts w:asciiTheme="minorHAnsi" w:eastAsia="Times New Roman" w:hAnsiTheme="minorHAnsi" w:cstheme="minorHAnsi"/>
              </w:rPr>
              <w:t>partage des objectifs autour d’un projet commun</w:t>
            </w:r>
            <w:r w:rsidR="00601819">
              <w:rPr>
                <w:rFonts w:asciiTheme="minorHAnsi" w:eastAsia="Times New Roman" w:hAnsiTheme="minorHAnsi" w:cstheme="minorHAnsi"/>
              </w:rPr>
              <w:t>)</w:t>
            </w:r>
            <w:r w:rsidRPr="00E24D1E">
              <w:rPr>
                <w:rFonts w:asciiTheme="minorHAnsi" w:eastAsia="Times New Roman" w:hAnsiTheme="minorHAnsi" w:cstheme="minorHAnsi"/>
              </w:rPr>
              <w:t xml:space="preserve"> </w:t>
            </w:r>
          </w:p>
        </w:tc>
      </w:tr>
    </w:tbl>
    <w:tbl>
      <w:tblPr>
        <w:tblStyle w:val="Grilledutableau"/>
        <w:tblpPr w:leftFromText="141" w:rightFromText="141" w:vertAnchor="text" w:horzAnchor="margin" w:tblpY="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555"/>
        <w:gridCol w:w="7507"/>
      </w:tblGrid>
      <w:tr w:rsidR="004C38A4" w14:paraId="7FA14722" w14:textId="77777777" w:rsidTr="004C38A4">
        <w:trPr>
          <w:trHeight w:val="1985"/>
        </w:trPr>
        <w:tc>
          <w:tcPr>
            <w:tcW w:w="1555" w:type="dxa"/>
            <w:vAlign w:val="center"/>
          </w:tcPr>
          <w:p w14:paraId="08E476F4" w14:textId="77777777" w:rsidR="004C38A4" w:rsidRPr="00C42E01" w:rsidRDefault="004C38A4" w:rsidP="004C38A4">
            <w:pPr>
              <w:contextualSpacing/>
              <w:jc w:val="center"/>
              <w:rPr>
                <w:rFonts w:asciiTheme="minorHAnsi" w:hAnsiTheme="minorHAnsi" w:cstheme="minorHAnsi"/>
                <w:color w:val="EB6909"/>
                <w:sz w:val="24"/>
              </w:rPr>
            </w:pPr>
            <w:r>
              <w:rPr>
                <w:noProof/>
              </w:rPr>
              <w:drawing>
                <wp:inline distT="0" distB="0" distL="0" distR="0" wp14:anchorId="6932D278" wp14:editId="5DC12DD1">
                  <wp:extent cx="817200" cy="648000"/>
                  <wp:effectExtent l="0" t="0" r="2540" b="0"/>
                  <wp:docPr id="29"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8"/>
                          <pic:cNvPicPr>
                            <a:picLocks/>
                          </pic:cNvPicPr>
                        </pic:nvPicPr>
                        <pic:blipFill rotWithShape="1">
                          <a:blip r:embed="rId12">
                            <a:extLst>
                              <a:ext uri="{28A0092B-C50C-407E-A947-70E740481C1C}">
                                <a14:useLocalDpi xmlns:a14="http://schemas.microsoft.com/office/drawing/2010/main" val="0"/>
                              </a:ext>
                            </a:extLst>
                          </a:blip>
                          <a:srcRect b="50173"/>
                          <a:stretch/>
                        </pic:blipFill>
                        <pic:spPr>
                          <a:xfrm>
                            <a:off x="0" y="0"/>
                            <a:ext cx="817200" cy="648000"/>
                          </a:xfrm>
                          <a:prstGeom prst="rect">
                            <a:avLst/>
                          </a:prstGeom>
                        </pic:spPr>
                      </pic:pic>
                    </a:graphicData>
                  </a:graphic>
                </wp:inline>
              </w:drawing>
            </w:r>
            <w:r w:rsidRPr="00D06357">
              <w:rPr>
                <w:rFonts w:asciiTheme="minorHAnsi" w:eastAsia="Times New Roman" w:hAnsiTheme="minorHAnsi" w:cstheme="minorHAnsi"/>
                <w:color w:val="03A9F4"/>
                <w:sz w:val="24"/>
              </w:rPr>
              <w:t xml:space="preserve"> </w:t>
            </w:r>
            <w:r>
              <w:rPr>
                <w:rFonts w:asciiTheme="minorHAnsi" w:eastAsia="Times New Roman" w:hAnsiTheme="minorHAnsi" w:cstheme="minorHAnsi"/>
                <w:b/>
                <w:color w:val="03A9F4"/>
                <w:sz w:val="24"/>
              </w:rPr>
              <w:t>Modèle économique</w:t>
            </w:r>
          </w:p>
        </w:tc>
        <w:tc>
          <w:tcPr>
            <w:tcW w:w="7507" w:type="dxa"/>
          </w:tcPr>
          <w:p w14:paraId="3FB436A6" w14:textId="77777777" w:rsidR="004C38A4" w:rsidRPr="004C38A4" w:rsidRDefault="004C38A4" w:rsidP="004C38A4">
            <w:pPr>
              <w:jc w:val="both"/>
              <w:rPr>
                <w:rFonts w:asciiTheme="minorHAnsi" w:eastAsia="Times New Roman" w:hAnsiTheme="minorHAnsi" w:cstheme="minorHAnsi"/>
                <w:bCs/>
                <w:color w:val="auto"/>
                <w:sz w:val="20"/>
                <w:szCs w:val="24"/>
              </w:rPr>
            </w:pPr>
            <w:r w:rsidRPr="0023637F">
              <w:rPr>
                <w:rFonts w:asciiTheme="minorHAnsi" w:eastAsia="Times New Roman" w:hAnsiTheme="minorHAnsi" w:cstheme="minorHAnsi"/>
                <w:bCs/>
                <w:color w:val="auto"/>
                <w:sz w:val="20"/>
                <w:szCs w:val="24"/>
              </w:rPr>
              <w:t>Cette seconde rubrique permet de renseigner et challenger son modèle économique qui se doit d’être pensé à long terme dès le lancement de la démarche. L’objectif des indicateurs est de faire réfléchir les animateurs sur son évolution dans le temps, une des recommandations pour pérenniser le modèle étant de réussir à diversifier ses sources de financements pour augmenter sa capacité de résilience économique.</w:t>
            </w:r>
            <w:r w:rsidRPr="004C38A4">
              <w:rPr>
                <w:rFonts w:asciiTheme="minorHAnsi" w:eastAsia="Times New Roman" w:hAnsiTheme="minorHAnsi" w:cstheme="minorHAnsi"/>
                <w:bCs/>
                <w:color w:val="auto"/>
                <w:sz w:val="20"/>
                <w:szCs w:val="24"/>
              </w:rPr>
              <w:t xml:space="preserve"> </w:t>
            </w:r>
            <w:r w:rsidRPr="004C38A4">
              <w:rPr>
                <w:rFonts w:asciiTheme="minorHAnsi" w:eastAsia="Times New Roman" w:hAnsiTheme="minorHAnsi" w:cstheme="minorHAnsi"/>
                <w:color w:val="auto"/>
                <w:sz w:val="20"/>
                <w:szCs w:val="24"/>
              </w:rPr>
              <w:t xml:space="preserve">Il est donc demandé de détailler son modèle, son budget annuel et sa répartition sur les postes de dépenses, les sources de financements actuelles. </w:t>
            </w:r>
          </w:p>
        </w:tc>
      </w:tr>
    </w:tbl>
    <w:p w14:paraId="0FD6A40C" w14:textId="77777777" w:rsidR="00C42E01" w:rsidRPr="00E24D1E" w:rsidRDefault="00C42E01">
      <w:pPr>
        <w:spacing w:after="280" w:line="240" w:lineRule="auto"/>
        <w:jc w:val="both"/>
        <w:rPr>
          <w:rFonts w:asciiTheme="minorHAnsi" w:hAnsiTheme="minorHAnsi" w:cstheme="minorHAnsi"/>
        </w:rPr>
      </w:pPr>
    </w:p>
    <w:p w14:paraId="60C0D567" w14:textId="17A872E2" w:rsidR="00D06357" w:rsidRPr="001214B3" w:rsidRDefault="00D06357" w:rsidP="00D06357">
      <w:pPr>
        <w:spacing w:line="240" w:lineRule="auto"/>
        <w:contextualSpacing/>
        <w:jc w:val="both"/>
        <w:rPr>
          <w:rFonts w:asciiTheme="minorHAnsi" w:hAnsiTheme="minorHAnsi" w:cstheme="minorHAnsi"/>
          <w:color w:val="8DBF0D"/>
          <w:sz w:val="24"/>
        </w:rPr>
      </w:pPr>
    </w:p>
    <w:p w14:paraId="0625731D" w14:textId="1C45F42B" w:rsidR="00882764" w:rsidRPr="00E24D1E" w:rsidRDefault="00313DCB">
      <w:pPr>
        <w:spacing w:after="280" w:line="240" w:lineRule="auto"/>
        <w:ind w:left="563"/>
        <w:jc w:val="both"/>
        <w:rPr>
          <w:rFonts w:asciiTheme="minorHAnsi" w:hAnsiTheme="minorHAnsi" w:cstheme="minorHAnsi"/>
        </w:rPr>
      </w:pPr>
      <w:r w:rsidRPr="00E24D1E">
        <w:rPr>
          <w:rFonts w:asciiTheme="minorHAnsi" w:eastAsia="Times New Roman" w:hAnsiTheme="minorHAnsi" w:cstheme="minorHAnsi"/>
        </w:rPr>
        <w:t>.</w:t>
      </w:r>
    </w:p>
    <w:p w14:paraId="4CB9F148" w14:textId="6FD67140" w:rsidR="00C42E01" w:rsidRDefault="00C42E01" w:rsidP="00C42E01">
      <w:pPr>
        <w:spacing w:after="0" w:line="240" w:lineRule="auto"/>
        <w:contextualSpacing/>
        <w:jc w:val="both"/>
        <w:rPr>
          <w:rFonts w:asciiTheme="minorHAnsi" w:eastAsia="Times New Roman" w:hAnsiTheme="minorHAnsi" w:cstheme="minorHAnsi"/>
          <w:color w:val="03A9F4"/>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555"/>
        <w:gridCol w:w="7507"/>
      </w:tblGrid>
      <w:tr w:rsidR="00C42E01" w14:paraId="281548C2" w14:textId="77777777" w:rsidTr="00C42E01">
        <w:trPr>
          <w:trHeight w:val="3470"/>
        </w:trPr>
        <w:tc>
          <w:tcPr>
            <w:tcW w:w="1555" w:type="dxa"/>
            <w:vAlign w:val="center"/>
          </w:tcPr>
          <w:p w14:paraId="00C6168C" w14:textId="7817300F" w:rsidR="00C42E01" w:rsidRPr="00D06357" w:rsidRDefault="00C42E01" w:rsidP="00404751">
            <w:pPr>
              <w:contextualSpacing/>
              <w:jc w:val="both"/>
              <w:rPr>
                <w:rFonts w:asciiTheme="minorHAnsi" w:hAnsiTheme="minorHAnsi" w:cstheme="minorHAnsi"/>
                <w:color w:val="EB6909"/>
                <w:sz w:val="24"/>
              </w:rPr>
            </w:pPr>
            <w:r>
              <w:rPr>
                <w:noProof/>
              </w:rPr>
              <w:drawing>
                <wp:inline distT="0" distB="0" distL="0" distR="0" wp14:anchorId="7D93FEE9" wp14:editId="31A73292">
                  <wp:extent cx="565785" cy="741045"/>
                  <wp:effectExtent l="0" t="0" r="5715" b="1905"/>
                  <wp:docPr id="34"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3"/>
                          <pic:cNvPicPr>
                            <a:picLocks noChangeAspect="1"/>
                          </pic:cNvPicPr>
                        </pic:nvPicPr>
                        <pic:blipFill rotWithShape="1">
                          <a:blip r:embed="rId13">
                            <a:extLst>
                              <a:ext uri="{28A0092B-C50C-407E-A947-70E740481C1C}">
                                <a14:useLocalDpi xmlns:a14="http://schemas.microsoft.com/office/drawing/2010/main" val="0"/>
                              </a:ext>
                            </a:extLst>
                          </a:blip>
                          <a:srcRect b="50035"/>
                          <a:stretch/>
                        </pic:blipFill>
                        <pic:spPr>
                          <a:xfrm>
                            <a:off x="0" y="0"/>
                            <a:ext cx="565785" cy="741045"/>
                          </a:xfrm>
                          <a:prstGeom prst="rect">
                            <a:avLst/>
                          </a:prstGeom>
                        </pic:spPr>
                      </pic:pic>
                    </a:graphicData>
                  </a:graphic>
                </wp:inline>
              </w:drawing>
            </w:r>
            <w:r w:rsidRPr="00D06357">
              <w:rPr>
                <w:rFonts w:asciiTheme="minorHAnsi" w:eastAsia="Times New Roman" w:hAnsiTheme="minorHAnsi" w:cstheme="minorHAnsi"/>
                <w:color w:val="03A9F4"/>
                <w:sz w:val="24"/>
              </w:rPr>
              <w:t xml:space="preserve"> </w:t>
            </w:r>
            <w:r w:rsidR="00601819">
              <w:rPr>
                <w:rFonts w:asciiTheme="minorHAnsi" w:eastAsia="Times New Roman" w:hAnsiTheme="minorHAnsi" w:cstheme="minorHAnsi"/>
                <w:b/>
                <w:color w:val="8DBF0D"/>
                <w:sz w:val="24"/>
              </w:rPr>
              <w:t>Activités et résultats</w:t>
            </w:r>
          </w:p>
          <w:p w14:paraId="4A5BB135" w14:textId="77777777" w:rsidR="00C42E01" w:rsidRDefault="00C42E01" w:rsidP="00404751">
            <w:pPr>
              <w:spacing w:after="280"/>
              <w:jc w:val="both"/>
              <w:rPr>
                <w:rFonts w:asciiTheme="minorHAnsi" w:hAnsiTheme="minorHAnsi" w:cstheme="minorHAnsi"/>
              </w:rPr>
            </w:pPr>
          </w:p>
        </w:tc>
        <w:tc>
          <w:tcPr>
            <w:tcW w:w="7507" w:type="dxa"/>
          </w:tcPr>
          <w:p w14:paraId="4F5FA532" w14:textId="77777777" w:rsidR="00EB3396" w:rsidRDefault="00C42E01" w:rsidP="00EB3396">
            <w:pPr>
              <w:jc w:val="both"/>
              <w:rPr>
                <w:rFonts w:asciiTheme="minorHAnsi" w:eastAsia="Times New Roman" w:hAnsiTheme="minorHAnsi" w:cstheme="minorHAnsi"/>
              </w:rPr>
            </w:pPr>
            <w:r>
              <w:rPr>
                <w:rFonts w:asciiTheme="minorHAnsi" w:eastAsia="Times New Roman" w:hAnsiTheme="minorHAnsi" w:cstheme="minorHAnsi"/>
              </w:rPr>
              <w:t>L</w:t>
            </w:r>
            <w:r w:rsidRPr="00E24D1E">
              <w:rPr>
                <w:rFonts w:asciiTheme="minorHAnsi" w:eastAsia="Times New Roman" w:hAnsiTheme="minorHAnsi" w:cstheme="minorHAnsi"/>
              </w:rPr>
              <w:t xml:space="preserve">e Référentiel ELIPSE </w:t>
            </w:r>
            <w:r w:rsidR="00404751">
              <w:rPr>
                <w:rFonts w:asciiTheme="minorHAnsi" w:eastAsia="Times New Roman" w:hAnsiTheme="minorHAnsi" w:cstheme="minorHAnsi"/>
              </w:rPr>
              <w:t>permet aussi d’</w:t>
            </w:r>
            <w:r w:rsidRPr="00E24D1E">
              <w:rPr>
                <w:rFonts w:asciiTheme="minorHAnsi" w:eastAsia="Times New Roman" w:hAnsiTheme="minorHAnsi" w:cstheme="minorHAnsi"/>
              </w:rPr>
              <w:t>aborde</w:t>
            </w:r>
            <w:r w:rsidR="00404751">
              <w:rPr>
                <w:rFonts w:asciiTheme="minorHAnsi" w:eastAsia="Times New Roman" w:hAnsiTheme="minorHAnsi" w:cstheme="minorHAnsi"/>
              </w:rPr>
              <w:t>r</w:t>
            </w:r>
            <w:r w:rsidRPr="00E24D1E">
              <w:rPr>
                <w:rFonts w:asciiTheme="minorHAnsi" w:eastAsia="Times New Roman" w:hAnsiTheme="minorHAnsi" w:cstheme="minorHAnsi"/>
              </w:rPr>
              <w:t xml:space="preserve"> les questions de </w:t>
            </w:r>
            <w:r w:rsidR="00404751">
              <w:rPr>
                <w:rFonts w:asciiTheme="minorHAnsi" w:eastAsia="Times New Roman" w:hAnsiTheme="minorHAnsi" w:cstheme="minorHAnsi"/>
              </w:rPr>
              <w:t xml:space="preserve">dynamique de la démarche avec les types et le nombre de rencontres entre acteurs économiques, la communication faite autour de ces actions et la participation à l’évaluation de la démarche… </w:t>
            </w:r>
            <w:r w:rsidR="00404751">
              <w:rPr>
                <w:rFonts w:asciiTheme="minorHAnsi" w:eastAsia="Times New Roman" w:hAnsiTheme="minorHAnsi" w:cstheme="minorHAnsi"/>
              </w:rPr>
              <w:t>même s’il n’est pas toujours facile de</w:t>
            </w:r>
            <w:r w:rsidR="00404751" w:rsidRPr="00E24D1E">
              <w:rPr>
                <w:rFonts w:asciiTheme="minorHAnsi" w:eastAsia="Times New Roman" w:hAnsiTheme="minorHAnsi" w:cstheme="minorHAnsi"/>
              </w:rPr>
              <w:t xml:space="preserve"> collecter </w:t>
            </w:r>
            <w:r w:rsidR="00404751">
              <w:rPr>
                <w:rFonts w:asciiTheme="minorHAnsi" w:eastAsia="Times New Roman" w:hAnsiTheme="minorHAnsi" w:cstheme="minorHAnsi"/>
              </w:rPr>
              <w:t xml:space="preserve">des informations pour évaluer </w:t>
            </w:r>
            <w:r w:rsidR="00404751" w:rsidRPr="00C42E01">
              <w:rPr>
                <w:rFonts w:asciiTheme="minorHAnsi" w:eastAsia="Times New Roman" w:hAnsiTheme="minorHAnsi" w:cstheme="minorHAnsi"/>
                <w:b/>
                <w:color w:val="EB6909"/>
              </w:rPr>
              <w:t>la co-construction et la coopération</w:t>
            </w:r>
            <w:r w:rsidR="00404751" w:rsidRPr="00C42E01">
              <w:rPr>
                <w:rFonts w:asciiTheme="minorHAnsi" w:eastAsia="Times New Roman" w:hAnsiTheme="minorHAnsi" w:cstheme="minorHAnsi"/>
                <w:color w:val="EB6909"/>
              </w:rPr>
              <w:t xml:space="preserve"> </w:t>
            </w:r>
            <w:r w:rsidR="00404751">
              <w:rPr>
                <w:rFonts w:asciiTheme="minorHAnsi" w:eastAsia="Times New Roman" w:hAnsiTheme="minorHAnsi" w:cstheme="minorHAnsi"/>
              </w:rPr>
              <w:t xml:space="preserve">et leurs effets </w:t>
            </w:r>
            <w:r w:rsidR="00404751" w:rsidRPr="00E24D1E">
              <w:rPr>
                <w:rFonts w:asciiTheme="minorHAnsi" w:eastAsia="Times New Roman" w:hAnsiTheme="minorHAnsi" w:cstheme="minorHAnsi"/>
              </w:rPr>
              <w:t>(confiance, partage de valeur entre les acteurs, acculturation à l’EIT et garantie de l’intérêt général)</w:t>
            </w:r>
            <w:r w:rsidR="00404751">
              <w:rPr>
                <w:rFonts w:asciiTheme="minorHAnsi" w:eastAsia="Times New Roman" w:hAnsiTheme="minorHAnsi" w:cstheme="minorHAnsi"/>
              </w:rPr>
              <w:t xml:space="preserve">. Cette rubrique permet de renseigner des données qualitatives et quantitatives liées à la </w:t>
            </w:r>
            <w:r w:rsidRPr="00E24D1E">
              <w:rPr>
                <w:rFonts w:asciiTheme="minorHAnsi" w:eastAsia="Times New Roman" w:hAnsiTheme="minorHAnsi" w:cstheme="minorHAnsi"/>
              </w:rPr>
              <w:t>relocalisation des approvisionnements, des services</w:t>
            </w:r>
            <w:r w:rsidR="00404751">
              <w:rPr>
                <w:rFonts w:asciiTheme="minorHAnsi" w:eastAsia="Times New Roman" w:hAnsiTheme="minorHAnsi" w:cstheme="minorHAnsi"/>
              </w:rPr>
              <w:t xml:space="preserve"> et à</w:t>
            </w:r>
            <w:r w:rsidRPr="00E24D1E">
              <w:rPr>
                <w:rFonts w:asciiTheme="minorHAnsi" w:eastAsia="Times New Roman" w:hAnsiTheme="minorHAnsi" w:cstheme="minorHAnsi"/>
              </w:rPr>
              <w:t xml:space="preserve"> la valorisat</w:t>
            </w:r>
            <w:r>
              <w:rPr>
                <w:rFonts w:asciiTheme="minorHAnsi" w:eastAsia="Times New Roman" w:hAnsiTheme="minorHAnsi" w:cstheme="minorHAnsi"/>
              </w:rPr>
              <w:t>ion de flux</w:t>
            </w:r>
            <w:r w:rsidR="00EB3396">
              <w:rPr>
                <w:rFonts w:asciiTheme="minorHAnsi" w:eastAsia="Times New Roman" w:hAnsiTheme="minorHAnsi" w:cstheme="minorHAnsi"/>
              </w:rPr>
              <w:t xml:space="preserve"> grâce à la mise en place de synergies</w:t>
            </w:r>
            <w:r>
              <w:rPr>
                <w:rFonts w:asciiTheme="minorHAnsi" w:eastAsia="Times New Roman" w:hAnsiTheme="minorHAnsi" w:cstheme="minorHAnsi"/>
              </w:rPr>
              <w:t>… qu’il serait pertinent d’approfondir avec des indicateurs intégrés</w:t>
            </w:r>
            <w:r w:rsidRPr="00E24D1E">
              <w:rPr>
                <w:rFonts w:asciiTheme="minorHAnsi" w:eastAsia="Times New Roman" w:hAnsiTheme="minorHAnsi" w:cstheme="minorHAnsi"/>
              </w:rPr>
              <w:t xml:space="preserve"> sur la </w:t>
            </w:r>
            <w:r w:rsidRPr="00C42E01">
              <w:rPr>
                <w:rFonts w:asciiTheme="minorHAnsi" w:eastAsia="Times New Roman" w:hAnsiTheme="minorHAnsi" w:cstheme="minorHAnsi"/>
                <w:b/>
                <w:color w:val="97BF0D"/>
              </w:rPr>
              <w:t>relocalisation des chaînes de valeurs</w:t>
            </w:r>
            <w:r>
              <w:rPr>
                <w:rFonts w:asciiTheme="minorHAnsi" w:eastAsia="Times New Roman" w:hAnsiTheme="minorHAnsi" w:cstheme="minorHAnsi"/>
              </w:rPr>
              <w:t>, en sachant que</w:t>
            </w:r>
            <w:r w:rsidRPr="00E24D1E">
              <w:rPr>
                <w:rFonts w:asciiTheme="minorHAnsi" w:eastAsia="Times New Roman" w:hAnsiTheme="minorHAnsi" w:cstheme="minorHAnsi"/>
              </w:rPr>
              <w:t xml:space="preserve"> le calcul des ratios de fournisseurs ou exutoires locaux </w:t>
            </w:r>
            <w:r>
              <w:rPr>
                <w:rFonts w:asciiTheme="minorHAnsi" w:eastAsia="Times New Roman" w:hAnsiTheme="minorHAnsi" w:cstheme="minorHAnsi"/>
              </w:rPr>
              <w:t xml:space="preserve">par exemple peut représenter un </w:t>
            </w:r>
            <w:r w:rsidRPr="00E24D1E">
              <w:rPr>
                <w:rFonts w:asciiTheme="minorHAnsi" w:eastAsia="Times New Roman" w:hAnsiTheme="minorHAnsi" w:cstheme="minorHAnsi"/>
              </w:rPr>
              <w:t xml:space="preserve">lourd </w:t>
            </w:r>
            <w:r>
              <w:rPr>
                <w:rFonts w:asciiTheme="minorHAnsi" w:eastAsia="Times New Roman" w:hAnsiTheme="minorHAnsi" w:cstheme="minorHAnsi"/>
              </w:rPr>
              <w:t>travail</w:t>
            </w:r>
            <w:r w:rsidRPr="00E24D1E">
              <w:rPr>
                <w:rFonts w:asciiTheme="minorHAnsi" w:eastAsia="Times New Roman" w:hAnsiTheme="minorHAnsi" w:cstheme="minorHAnsi"/>
              </w:rPr>
              <w:t xml:space="preserve">. </w:t>
            </w:r>
            <w:r w:rsidR="00EB3396" w:rsidRPr="00E24D1E">
              <w:rPr>
                <w:rFonts w:asciiTheme="minorHAnsi" w:eastAsia="Times New Roman" w:hAnsiTheme="minorHAnsi" w:cstheme="minorHAnsi"/>
              </w:rPr>
              <w:t xml:space="preserve">Des indicateurs évaluent également l’existence de critères de développement durable dans le choix des synergies de substitution et de mutualisation. </w:t>
            </w:r>
            <w:r w:rsidR="00EB3396">
              <w:rPr>
                <w:rFonts w:asciiTheme="minorHAnsi" w:eastAsia="Times New Roman" w:hAnsiTheme="minorHAnsi" w:cstheme="minorHAnsi"/>
              </w:rPr>
              <w:t xml:space="preserve">Ils pourraient être complétés par </w:t>
            </w:r>
            <w:r w:rsidR="00EB3396" w:rsidRPr="00E24D1E">
              <w:rPr>
                <w:rFonts w:asciiTheme="minorHAnsi" w:eastAsia="Times New Roman" w:hAnsiTheme="minorHAnsi" w:cstheme="minorHAnsi"/>
              </w:rPr>
              <w:t xml:space="preserve">des indicateurs opérationnels et objectifs pour mesurer la vigilance des porteurs de projet face aux </w:t>
            </w:r>
            <w:r w:rsidR="00EB3396" w:rsidRPr="00C42E01">
              <w:rPr>
                <w:rFonts w:asciiTheme="minorHAnsi" w:eastAsia="Times New Roman" w:hAnsiTheme="minorHAnsi" w:cstheme="minorHAnsi"/>
                <w:b/>
                <w:color w:val="03A9F4"/>
              </w:rPr>
              <w:t>effets rebonds et impacts de leur démarche au-delà des limites de leur territoire et sur des échelles de temps plus larges</w:t>
            </w:r>
            <w:r w:rsidR="00EB3396" w:rsidRPr="00E24D1E">
              <w:rPr>
                <w:rFonts w:asciiTheme="minorHAnsi" w:eastAsia="Times New Roman" w:hAnsiTheme="minorHAnsi" w:cstheme="minorHAnsi"/>
              </w:rPr>
              <w:t xml:space="preserve">. </w:t>
            </w:r>
            <w:r w:rsidR="00EB3396">
              <w:rPr>
                <w:rFonts w:asciiTheme="minorHAnsi" w:eastAsia="Times New Roman" w:hAnsiTheme="minorHAnsi" w:cstheme="minorHAnsi"/>
              </w:rPr>
              <w:t xml:space="preserve">Il serait également intéressant dans un second temps que les acteurs </w:t>
            </w:r>
            <w:r w:rsidR="00EB3396" w:rsidRPr="00E24D1E">
              <w:rPr>
                <w:rFonts w:asciiTheme="minorHAnsi" w:eastAsia="Times New Roman" w:hAnsiTheme="minorHAnsi" w:cstheme="minorHAnsi"/>
              </w:rPr>
              <w:t>interroge</w:t>
            </w:r>
            <w:r w:rsidR="00EB3396">
              <w:rPr>
                <w:rFonts w:asciiTheme="minorHAnsi" w:eastAsia="Times New Roman" w:hAnsiTheme="minorHAnsi" w:cstheme="minorHAnsi"/>
              </w:rPr>
              <w:t>nt</w:t>
            </w:r>
            <w:r w:rsidR="00EB3396" w:rsidRPr="00E24D1E">
              <w:rPr>
                <w:rFonts w:asciiTheme="minorHAnsi" w:eastAsia="Times New Roman" w:hAnsiTheme="minorHAnsi" w:cstheme="minorHAnsi"/>
              </w:rPr>
              <w:t xml:space="preserve"> de manière plus approfondie </w:t>
            </w:r>
            <w:r w:rsidR="00EB3396" w:rsidRPr="00C42E01">
              <w:rPr>
                <w:rFonts w:asciiTheme="minorHAnsi" w:eastAsia="Times New Roman" w:hAnsiTheme="minorHAnsi" w:cstheme="minorHAnsi"/>
                <w:b/>
                <w:color w:val="03A9F4"/>
              </w:rPr>
              <w:t>la modification des modes d’usages et la transformation des modèles d’affaires</w:t>
            </w:r>
            <w:r w:rsidR="00EB3396" w:rsidRPr="00C42E01">
              <w:rPr>
                <w:rFonts w:asciiTheme="minorHAnsi" w:eastAsia="Times New Roman" w:hAnsiTheme="minorHAnsi" w:cstheme="minorHAnsi"/>
                <w:color w:val="03A9F4"/>
              </w:rPr>
              <w:t xml:space="preserve"> </w:t>
            </w:r>
            <w:r w:rsidR="00EB3396" w:rsidRPr="00E24D1E">
              <w:rPr>
                <w:rFonts w:asciiTheme="minorHAnsi" w:eastAsia="Times New Roman" w:hAnsiTheme="minorHAnsi" w:cstheme="minorHAnsi"/>
              </w:rPr>
              <w:t>autour de la circulation des flux de ressources sur le territoire, objet des approches de l’économie de fonctionnalité et des nouveaux modèles de développement territoriaux.</w:t>
            </w:r>
            <w:r w:rsidR="00EB3396" w:rsidRPr="00DD23CE">
              <w:rPr>
                <w:rFonts w:asciiTheme="minorHAnsi" w:eastAsia="Times New Roman" w:hAnsiTheme="minorHAnsi" w:cstheme="minorHAnsi"/>
                <w:color w:val="3171D2"/>
                <w:sz w:val="20"/>
                <w:szCs w:val="24"/>
              </w:rPr>
              <w:t xml:space="preserve"> </w:t>
            </w:r>
            <w:r w:rsidR="00EB3396" w:rsidRPr="00E24D1E">
              <w:rPr>
                <w:rFonts w:asciiTheme="minorHAnsi" w:eastAsia="Times New Roman" w:hAnsiTheme="minorHAnsi" w:cstheme="minorHAnsi"/>
              </w:rPr>
              <w:t>Il a par ailleurs été possible d’intégrer des indicateurs permettant d’évaluer le partage des retombées financières entre les acteurs du territoire, ou encore l'implication des salariés dans la démarche et leur possibilité d’en retirer des bénéfices financiers pour compléter l’aspect économique et social.</w:t>
            </w:r>
            <w:r w:rsidR="00EB3396">
              <w:rPr>
                <w:rFonts w:asciiTheme="minorHAnsi" w:eastAsia="Times New Roman" w:hAnsiTheme="minorHAnsi" w:cstheme="minorHAnsi"/>
              </w:rPr>
              <w:t> </w:t>
            </w:r>
            <w:r w:rsidR="00EB3396">
              <w:rPr>
                <w:rFonts w:asciiTheme="minorHAnsi" w:eastAsia="Times New Roman" w:hAnsiTheme="minorHAnsi" w:cstheme="minorHAnsi"/>
                <w:color w:val="97BF0D"/>
              </w:rPr>
              <w:t xml:space="preserve"> </w:t>
            </w:r>
          </w:p>
          <w:p w14:paraId="3AAA0882" w14:textId="0BE314CB" w:rsidR="00C42E01" w:rsidRDefault="00404751" w:rsidP="00EB3396">
            <w:pPr>
              <w:jc w:val="both"/>
              <w:rPr>
                <w:rFonts w:asciiTheme="minorHAnsi" w:hAnsiTheme="minorHAnsi" w:cstheme="minorHAnsi"/>
              </w:rPr>
            </w:pPr>
            <w:r>
              <w:rPr>
                <w:rFonts w:asciiTheme="minorHAnsi" w:eastAsia="Times New Roman" w:hAnsiTheme="minorHAnsi" w:cstheme="minorHAnsi"/>
              </w:rPr>
              <w:t xml:space="preserve">La rubrique « impacts hors synergies » </w:t>
            </w:r>
            <w:r w:rsidRPr="00E24D1E">
              <w:rPr>
                <w:rFonts w:asciiTheme="minorHAnsi" w:eastAsia="Times New Roman" w:hAnsiTheme="minorHAnsi" w:cstheme="minorHAnsi"/>
              </w:rPr>
              <w:t xml:space="preserve">permet d’enrichir les critères d’évaluation environnementale avec des considérations sur la réduction des flux en amont et en interne aux entreprises (ex : écoconception) au-delà de la mise en synergie. </w:t>
            </w:r>
            <w:r w:rsidR="004C38A4">
              <w:rPr>
                <w:rFonts w:asciiTheme="minorHAnsi" w:eastAsia="Times New Roman" w:hAnsiTheme="minorHAnsi" w:cstheme="minorHAnsi"/>
              </w:rPr>
              <w:t xml:space="preserve">Par ailleurs, pour </w:t>
            </w:r>
            <w:r w:rsidR="004C38A4" w:rsidRPr="00E24D1E">
              <w:rPr>
                <w:rFonts w:asciiTheme="minorHAnsi" w:eastAsia="Times New Roman" w:hAnsiTheme="minorHAnsi" w:cstheme="minorHAnsi"/>
              </w:rPr>
              <w:t>prendre en compte l’anticipation des risques et des opportunités, essentiell</w:t>
            </w:r>
            <w:r w:rsidR="004C38A4">
              <w:rPr>
                <w:rFonts w:asciiTheme="minorHAnsi" w:eastAsia="Times New Roman" w:hAnsiTheme="minorHAnsi" w:cstheme="minorHAnsi"/>
              </w:rPr>
              <w:t>e à la pérennité de la démarche, le référentiel intègre des</w:t>
            </w:r>
            <w:r w:rsidR="004C38A4" w:rsidRPr="00E24D1E">
              <w:rPr>
                <w:rFonts w:asciiTheme="minorHAnsi" w:eastAsia="Times New Roman" w:hAnsiTheme="minorHAnsi" w:cstheme="minorHAnsi"/>
              </w:rPr>
              <w:t xml:space="preserve"> questions concernant les actions de veille et de prospective sur de nombreux sujets (méthodologie, stratégie acteurs, contexte local, national…)</w:t>
            </w:r>
            <w:r w:rsidR="004C38A4">
              <w:rPr>
                <w:rFonts w:asciiTheme="minorHAnsi" w:eastAsia="Times New Roman" w:hAnsiTheme="minorHAnsi" w:cstheme="minorHAnsi"/>
              </w:rPr>
              <w:t>.</w:t>
            </w:r>
            <w:r>
              <w:rPr>
                <w:rFonts w:asciiTheme="minorHAnsi" w:eastAsia="Times New Roman" w:hAnsiTheme="minorHAnsi" w:cstheme="minorHAnsi"/>
              </w:rPr>
              <w:t xml:space="preserve"> </w:t>
            </w:r>
            <w:r>
              <w:rPr>
                <w:rFonts w:asciiTheme="minorHAnsi" w:eastAsia="Times New Roman" w:hAnsiTheme="minorHAnsi" w:cstheme="minorHAnsi"/>
              </w:rPr>
              <w:t xml:space="preserve">Il paraît également important de bien reconnecter les </w:t>
            </w:r>
            <w:r w:rsidRPr="00E24D1E">
              <w:rPr>
                <w:rFonts w:asciiTheme="minorHAnsi" w:eastAsia="Times New Roman" w:hAnsiTheme="minorHAnsi" w:cstheme="minorHAnsi"/>
              </w:rPr>
              <w:t>préoccupations propres aux démarches d’EIT</w:t>
            </w:r>
            <w:r>
              <w:rPr>
                <w:rFonts w:asciiTheme="minorHAnsi" w:eastAsia="Times New Roman" w:hAnsiTheme="minorHAnsi" w:cstheme="minorHAnsi"/>
              </w:rPr>
              <w:t xml:space="preserve"> à la stratégie globale du territoire avec </w:t>
            </w:r>
            <w:r w:rsidRPr="00E24D1E">
              <w:rPr>
                <w:rFonts w:asciiTheme="minorHAnsi" w:eastAsia="Times New Roman" w:hAnsiTheme="minorHAnsi" w:cstheme="minorHAnsi"/>
              </w:rPr>
              <w:t>d’autres critères de durabilité</w:t>
            </w:r>
            <w:r w:rsidR="00EB3396">
              <w:rPr>
                <w:rFonts w:asciiTheme="minorHAnsi" w:eastAsia="Times New Roman" w:hAnsiTheme="minorHAnsi" w:cstheme="minorHAnsi"/>
              </w:rPr>
              <w:t xml:space="preserve"> tels que </w:t>
            </w:r>
            <w:r w:rsidRPr="00C42E01">
              <w:rPr>
                <w:rFonts w:asciiTheme="minorHAnsi" w:eastAsia="Times New Roman" w:hAnsiTheme="minorHAnsi" w:cstheme="minorHAnsi"/>
                <w:b/>
                <w:color w:val="97BF0D"/>
              </w:rPr>
              <w:t>la couverture des besoins locaux par les activités économiques</w:t>
            </w:r>
            <w:r w:rsidRPr="00E24D1E">
              <w:rPr>
                <w:rFonts w:asciiTheme="minorHAnsi" w:eastAsia="Times New Roman" w:hAnsiTheme="minorHAnsi" w:cstheme="minorHAnsi"/>
              </w:rPr>
              <w:t xml:space="preserve">, </w:t>
            </w:r>
            <w:r w:rsidRPr="00C42E01">
              <w:rPr>
                <w:rFonts w:asciiTheme="minorHAnsi" w:eastAsia="Times New Roman" w:hAnsiTheme="minorHAnsi" w:cstheme="minorHAnsi"/>
                <w:b/>
                <w:color w:val="97BF0D"/>
              </w:rPr>
              <w:t>la résilience du territoire</w:t>
            </w:r>
            <w:r w:rsidR="00EB3396">
              <w:rPr>
                <w:rFonts w:asciiTheme="minorHAnsi" w:eastAsia="Times New Roman" w:hAnsiTheme="minorHAnsi" w:cstheme="minorHAnsi"/>
                <w:color w:val="auto"/>
              </w:rPr>
              <w:t xml:space="preserve"> etc</w:t>
            </w:r>
            <w:r w:rsidRPr="00C42E01">
              <w:rPr>
                <w:rFonts w:asciiTheme="minorHAnsi" w:eastAsia="Times New Roman" w:hAnsiTheme="minorHAnsi" w:cstheme="minorHAnsi"/>
                <w:color w:val="97BF0D"/>
              </w:rPr>
              <w:t>.</w:t>
            </w:r>
          </w:p>
        </w:tc>
      </w:tr>
    </w:tbl>
    <w:p w14:paraId="65BDDD20" w14:textId="680FBF53" w:rsidR="00882764" w:rsidRPr="00D06357" w:rsidRDefault="00882764" w:rsidP="00C42E01">
      <w:pPr>
        <w:spacing w:after="0" w:line="240" w:lineRule="auto"/>
        <w:contextualSpacing/>
        <w:jc w:val="both"/>
        <w:rPr>
          <w:rFonts w:asciiTheme="minorHAnsi" w:hAnsiTheme="minorHAnsi" w:cstheme="minorHAnsi"/>
          <w:color w:val="03A9F4"/>
          <w:sz w:val="24"/>
        </w:rPr>
      </w:pPr>
    </w:p>
    <w:p w14:paraId="77307046" w14:textId="77777777" w:rsidR="00404751" w:rsidRDefault="00313DCB">
      <w:pPr>
        <w:spacing w:after="280" w:line="240" w:lineRule="auto"/>
        <w:jc w:val="both"/>
        <w:rPr>
          <w:rFonts w:asciiTheme="minorHAnsi" w:eastAsia="Times New Roman" w:hAnsiTheme="minorHAnsi" w:cstheme="minorHAnsi"/>
        </w:rPr>
      </w:pPr>
      <w:r w:rsidRPr="00E24D1E">
        <w:rPr>
          <w:rFonts w:asciiTheme="minorHAnsi" w:eastAsia="Times New Roman" w:hAnsiTheme="minorHAnsi" w:cstheme="minorHAnsi"/>
        </w:rPr>
        <w:t xml:space="preserve">Concernant la mise en œuvre d’une co-évaluation </w:t>
      </w:r>
      <w:r w:rsidR="00D9280B" w:rsidRPr="00E24D1E">
        <w:rPr>
          <w:rFonts w:asciiTheme="minorHAnsi" w:eastAsia="Times New Roman" w:hAnsiTheme="minorHAnsi" w:cstheme="minorHAnsi"/>
        </w:rPr>
        <w:t xml:space="preserve">à l’échelle </w:t>
      </w:r>
      <w:r w:rsidRPr="00E24D1E">
        <w:rPr>
          <w:rFonts w:asciiTheme="minorHAnsi" w:eastAsia="Times New Roman" w:hAnsiTheme="minorHAnsi" w:cstheme="minorHAnsi"/>
        </w:rPr>
        <w:t>niveau local</w:t>
      </w:r>
      <w:r w:rsidR="00D9280B" w:rsidRPr="00E24D1E">
        <w:rPr>
          <w:rFonts w:asciiTheme="minorHAnsi" w:eastAsia="Times New Roman" w:hAnsiTheme="minorHAnsi" w:cstheme="minorHAnsi"/>
        </w:rPr>
        <w:t>e</w:t>
      </w:r>
      <w:r w:rsidRPr="00E24D1E">
        <w:rPr>
          <w:rFonts w:asciiTheme="minorHAnsi" w:eastAsia="Times New Roman" w:hAnsiTheme="minorHAnsi" w:cstheme="minorHAnsi"/>
        </w:rPr>
        <w:t>, l’expérimentation a fait émerger quelques points de vigilance au regard des moyens et ca</w:t>
      </w:r>
      <w:r w:rsidR="002707BC">
        <w:rPr>
          <w:rFonts w:asciiTheme="minorHAnsi" w:eastAsia="Times New Roman" w:hAnsiTheme="minorHAnsi" w:cstheme="minorHAnsi"/>
        </w:rPr>
        <w:t>pacités des porteurs de projets</w:t>
      </w:r>
      <w:r w:rsidRPr="00E24D1E">
        <w:rPr>
          <w:rFonts w:asciiTheme="minorHAnsi" w:eastAsia="Times New Roman" w:hAnsiTheme="minorHAnsi" w:cstheme="minorHAnsi"/>
        </w:rPr>
        <w:t xml:space="preserve">. Il est essentiel de bien </w:t>
      </w:r>
      <w:r w:rsidRPr="00E12E1E">
        <w:rPr>
          <w:rFonts w:asciiTheme="minorHAnsi" w:eastAsia="Times New Roman" w:hAnsiTheme="minorHAnsi" w:cstheme="minorHAnsi"/>
          <w:b/>
          <w:color w:val="3171D2"/>
        </w:rPr>
        <w:t>intégrer la démarche de co-évaluation aux habitudes de pilotage global</w:t>
      </w:r>
      <w:r w:rsidRPr="00E24D1E">
        <w:rPr>
          <w:rFonts w:asciiTheme="minorHAnsi" w:eastAsia="Times New Roman" w:hAnsiTheme="minorHAnsi" w:cstheme="minorHAnsi"/>
        </w:rPr>
        <w:t xml:space="preserve"> pour </w:t>
      </w:r>
      <w:r w:rsidR="002707BC">
        <w:rPr>
          <w:rFonts w:asciiTheme="minorHAnsi" w:eastAsia="Times New Roman" w:hAnsiTheme="minorHAnsi" w:cstheme="minorHAnsi"/>
        </w:rPr>
        <w:t xml:space="preserve">réussir à faire mobiliser du temps à des </w:t>
      </w:r>
      <w:r w:rsidR="002707BC" w:rsidRPr="00E24D1E">
        <w:rPr>
          <w:rFonts w:asciiTheme="minorHAnsi" w:eastAsia="Times New Roman" w:hAnsiTheme="minorHAnsi" w:cstheme="minorHAnsi"/>
        </w:rPr>
        <w:t>acteurs ayant eux-mêmes peu de disponibilité</w:t>
      </w:r>
      <w:r w:rsidR="00AF060E">
        <w:rPr>
          <w:rFonts w:asciiTheme="minorHAnsi" w:eastAsia="Times New Roman" w:hAnsiTheme="minorHAnsi" w:cstheme="minorHAnsi"/>
        </w:rPr>
        <w:t>s</w:t>
      </w:r>
      <w:r w:rsidR="002707BC">
        <w:rPr>
          <w:rFonts w:asciiTheme="minorHAnsi" w:eastAsia="Times New Roman" w:hAnsiTheme="minorHAnsi" w:cstheme="minorHAnsi"/>
        </w:rPr>
        <w:t xml:space="preserve"> et ainsi </w:t>
      </w:r>
      <w:r w:rsidR="00D9280B" w:rsidRPr="00E24D1E">
        <w:rPr>
          <w:rFonts w:asciiTheme="minorHAnsi" w:eastAsia="Times New Roman" w:hAnsiTheme="minorHAnsi" w:cstheme="minorHAnsi"/>
        </w:rPr>
        <w:t xml:space="preserve">améliorer les retombées des évaluations et la diffusion de ses </w:t>
      </w:r>
      <w:r w:rsidR="001214B3" w:rsidRPr="00E24D1E">
        <w:rPr>
          <w:rFonts w:asciiTheme="minorHAnsi" w:eastAsia="Times New Roman" w:hAnsiTheme="minorHAnsi" w:cstheme="minorHAnsi"/>
        </w:rPr>
        <w:t xml:space="preserve">enseignements. </w:t>
      </w:r>
      <w:r w:rsidRPr="00E24D1E">
        <w:rPr>
          <w:rFonts w:asciiTheme="minorHAnsi" w:eastAsia="Times New Roman" w:hAnsiTheme="minorHAnsi" w:cstheme="minorHAnsi"/>
        </w:rPr>
        <w:t xml:space="preserve">Le second point de vigilance concerne le périmètre de la démarche qui fait toujours débat et de l’articulation entre les problématiques </w:t>
      </w:r>
      <w:r w:rsidR="002707BC">
        <w:rPr>
          <w:rFonts w:asciiTheme="minorHAnsi" w:eastAsia="Times New Roman" w:hAnsiTheme="minorHAnsi" w:cstheme="minorHAnsi"/>
        </w:rPr>
        <w:t>du réseau d’acteurs impliqués dans les synergies</w:t>
      </w:r>
      <w:r w:rsidRPr="00E24D1E">
        <w:rPr>
          <w:rFonts w:asciiTheme="minorHAnsi" w:eastAsia="Times New Roman" w:hAnsiTheme="minorHAnsi" w:cstheme="minorHAnsi"/>
        </w:rPr>
        <w:t xml:space="preserve"> et celles liées </w:t>
      </w:r>
      <w:r w:rsidR="00AF060E">
        <w:rPr>
          <w:rFonts w:asciiTheme="minorHAnsi" w:eastAsia="Times New Roman" w:hAnsiTheme="minorHAnsi" w:cstheme="minorHAnsi"/>
        </w:rPr>
        <w:t>aux</w:t>
      </w:r>
      <w:r w:rsidR="00271A11">
        <w:rPr>
          <w:rFonts w:asciiTheme="minorHAnsi" w:eastAsia="Times New Roman" w:hAnsiTheme="minorHAnsi" w:cstheme="minorHAnsi"/>
        </w:rPr>
        <w:t xml:space="preserve"> politiques et stratégies </w:t>
      </w:r>
      <w:r w:rsidR="00AF060E">
        <w:rPr>
          <w:rFonts w:asciiTheme="minorHAnsi" w:eastAsia="Times New Roman" w:hAnsiTheme="minorHAnsi" w:cstheme="minorHAnsi"/>
        </w:rPr>
        <w:t>globales de territoires</w:t>
      </w:r>
      <w:r w:rsidRPr="00E24D1E">
        <w:rPr>
          <w:rFonts w:asciiTheme="minorHAnsi" w:eastAsia="Times New Roman" w:hAnsiTheme="minorHAnsi" w:cstheme="minorHAnsi"/>
        </w:rPr>
        <w:t>. Les territoires en début de démarche souhaitent par exemple se centrer sur les entreprises et ne voient pas l'intérêt d'engager une démarche trop globale qui ne serait pas comprise ni jugée pertinente par les acteurs de terrain. A l'inverse, certains territoires ont engagé une démarche globale et l'implication des entreprises est encore balbutiante</w:t>
      </w:r>
      <w:r w:rsidR="00AF060E">
        <w:rPr>
          <w:rFonts w:asciiTheme="minorHAnsi" w:eastAsia="Times New Roman" w:hAnsiTheme="minorHAnsi" w:cstheme="minorHAnsi"/>
        </w:rPr>
        <w:t>, comme dans les démarches d’Agenda 21 par exemple</w:t>
      </w:r>
      <w:r w:rsidRPr="00E24D1E">
        <w:rPr>
          <w:rFonts w:asciiTheme="minorHAnsi" w:eastAsia="Times New Roman" w:hAnsiTheme="minorHAnsi" w:cstheme="minorHAnsi"/>
        </w:rPr>
        <w:t xml:space="preserve">. </w:t>
      </w:r>
      <w:r w:rsidRPr="00E12E1E">
        <w:rPr>
          <w:rFonts w:asciiTheme="minorHAnsi" w:eastAsia="Times New Roman" w:hAnsiTheme="minorHAnsi" w:cstheme="minorHAnsi"/>
          <w:b/>
          <w:color w:val="3171D2"/>
        </w:rPr>
        <w:t>L'articulation des échelles</w:t>
      </w:r>
      <w:r w:rsidRPr="00E12E1E">
        <w:rPr>
          <w:rFonts w:asciiTheme="minorHAnsi" w:eastAsia="Times New Roman" w:hAnsiTheme="minorHAnsi" w:cstheme="minorHAnsi"/>
          <w:color w:val="3171D2"/>
        </w:rPr>
        <w:t xml:space="preserve"> </w:t>
      </w:r>
      <w:r w:rsidRPr="00E24D1E">
        <w:rPr>
          <w:rFonts w:asciiTheme="minorHAnsi" w:eastAsia="Times New Roman" w:hAnsiTheme="minorHAnsi" w:cstheme="minorHAnsi"/>
        </w:rPr>
        <w:t xml:space="preserve">pourtant fondamentale </w:t>
      </w:r>
      <w:r w:rsidR="00271A11">
        <w:rPr>
          <w:rFonts w:asciiTheme="minorHAnsi" w:eastAsia="Times New Roman" w:hAnsiTheme="minorHAnsi" w:cstheme="minorHAnsi"/>
        </w:rPr>
        <w:t>mais souvent</w:t>
      </w:r>
      <w:r w:rsidRPr="00E24D1E">
        <w:rPr>
          <w:rFonts w:asciiTheme="minorHAnsi" w:eastAsia="Times New Roman" w:hAnsiTheme="minorHAnsi" w:cstheme="minorHAnsi"/>
        </w:rPr>
        <w:t xml:space="preserve"> complexe à mettre en œuvre sur le terrain</w:t>
      </w:r>
      <w:r w:rsidR="00271A11">
        <w:rPr>
          <w:rFonts w:asciiTheme="minorHAnsi" w:eastAsia="Times New Roman" w:hAnsiTheme="minorHAnsi" w:cstheme="minorHAnsi"/>
        </w:rPr>
        <w:t>,</w:t>
      </w:r>
      <w:r w:rsidRPr="00E24D1E">
        <w:rPr>
          <w:rFonts w:asciiTheme="minorHAnsi" w:eastAsia="Times New Roman" w:hAnsiTheme="minorHAnsi" w:cstheme="minorHAnsi"/>
        </w:rPr>
        <w:t xml:space="preserve"> se traduit dans la sélection des indicateurs et</w:t>
      </w:r>
      <w:r w:rsidR="00271A11">
        <w:rPr>
          <w:rFonts w:asciiTheme="minorHAnsi" w:eastAsia="Times New Roman" w:hAnsiTheme="minorHAnsi" w:cstheme="minorHAnsi"/>
        </w:rPr>
        <w:t xml:space="preserve"> joue ainsi sur</w:t>
      </w:r>
      <w:r w:rsidRPr="00E24D1E">
        <w:rPr>
          <w:rFonts w:asciiTheme="minorHAnsi" w:eastAsia="Times New Roman" w:hAnsiTheme="minorHAnsi" w:cstheme="minorHAnsi"/>
        </w:rPr>
        <w:t xml:space="preserve"> la précision de l’évaluation. Il est</w:t>
      </w:r>
      <w:r w:rsidR="00271A11">
        <w:rPr>
          <w:rFonts w:asciiTheme="minorHAnsi" w:eastAsia="Times New Roman" w:hAnsiTheme="minorHAnsi" w:cstheme="minorHAnsi"/>
        </w:rPr>
        <w:t xml:space="preserve"> donc</w:t>
      </w:r>
      <w:r w:rsidRPr="00E24D1E">
        <w:rPr>
          <w:rFonts w:asciiTheme="minorHAnsi" w:eastAsia="Times New Roman" w:hAnsiTheme="minorHAnsi" w:cstheme="minorHAnsi"/>
        </w:rPr>
        <w:t xml:space="preserve"> important que les porteurs de projets et les acteurs participant à l’évaluation se place</w:t>
      </w:r>
      <w:r w:rsidR="00D9280B" w:rsidRPr="00E24D1E">
        <w:rPr>
          <w:rFonts w:asciiTheme="minorHAnsi" w:eastAsia="Times New Roman" w:hAnsiTheme="minorHAnsi" w:cstheme="minorHAnsi"/>
        </w:rPr>
        <w:t>nt</w:t>
      </w:r>
      <w:r w:rsidRPr="00E24D1E">
        <w:rPr>
          <w:rFonts w:asciiTheme="minorHAnsi" w:eastAsia="Times New Roman" w:hAnsiTheme="minorHAnsi" w:cstheme="minorHAnsi"/>
        </w:rPr>
        <w:t xml:space="preserve"> dans une posture de conduite du changement pour s’efforcer d’élargir leurs objectifs et élaborer un projet de territoire véritablement durable.</w:t>
      </w:r>
    </w:p>
    <w:p w14:paraId="5205E23B" w14:textId="0E5F403F" w:rsidR="00882764" w:rsidRPr="00404751" w:rsidRDefault="00313DCB">
      <w:pPr>
        <w:spacing w:after="280" w:line="240" w:lineRule="auto"/>
        <w:jc w:val="both"/>
        <w:rPr>
          <w:rFonts w:asciiTheme="minorHAnsi" w:eastAsia="Times New Roman" w:hAnsiTheme="minorHAnsi" w:cstheme="minorHAnsi"/>
        </w:rPr>
      </w:pPr>
      <w:r w:rsidRPr="001214B3">
        <w:rPr>
          <w:rFonts w:asciiTheme="minorHAnsi" w:eastAsia="Times New Roman" w:hAnsiTheme="minorHAnsi" w:cstheme="minorHAnsi"/>
          <w:color w:val="EB6909"/>
          <w:sz w:val="28"/>
        </w:rPr>
        <w:t>Conclusion</w:t>
      </w:r>
    </w:p>
    <w:p w14:paraId="3FE22069" w14:textId="77777777" w:rsidR="00271A11" w:rsidRDefault="00313DCB">
      <w:pPr>
        <w:spacing w:after="280" w:line="240" w:lineRule="auto"/>
        <w:jc w:val="both"/>
        <w:rPr>
          <w:rFonts w:asciiTheme="minorHAnsi" w:eastAsia="Times New Roman" w:hAnsiTheme="minorHAnsi" w:cstheme="minorHAnsi"/>
          <w:b/>
          <w:color w:val="auto"/>
        </w:rPr>
      </w:pPr>
      <w:bookmarkStart w:id="0" w:name="_gjdgxs" w:colFirst="0" w:colLast="0"/>
      <w:bookmarkEnd w:id="0"/>
      <w:r w:rsidRPr="00E12E1E">
        <w:rPr>
          <w:rFonts w:asciiTheme="minorHAnsi" w:eastAsia="Times New Roman" w:hAnsiTheme="minorHAnsi" w:cstheme="minorHAnsi"/>
          <w:b/>
          <w:color w:val="auto"/>
        </w:rPr>
        <w:t xml:space="preserve">Le Référentiel ELIPSE constitue donc un premier pas pour accompagner les démarches d’EIT vers la durabilité forte. La méthodologie de construction s’est efforcée de produire un cadre d’évaluation au plus près des attentes du terrain. Il pourra cependant être envisagé de l’améliorer une fois qu’il aura été appliqué par un large éventail de territoires assez représentatifs de la diversité des initiatives pour répondre </w:t>
      </w:r>
      <w:r w:rsidR="0052248F" w:rsidRPr="00E12E1E">
        <w:rPr>
          <w:rFonts w:asciiTheme="minorHAnsi" w:eastAsia="Times New Roman" w:hAnsiTheme="minorHAnsi" w:cstheme="minorHAnsi"/>
          <w:b/>
          <w:color w:val="auto"/>
        </w:rPr>
        <w:t xml:space="preserve">davantage </w:t>
      </w:r>
      <w:r w:rsidR="00271A11">
        <w:rPr>
          <w:rFonts w:asciiTheme="minorHAnsi" w:eastAsia="Times New Roman" w:hAnsiTheme="minorHAnsi" w:cstheme="minorHAnsi"/>
          <w:b/>
          <w:color w:val="auto"/>
        </w:rPr>
        <w:t>aux besoins des acteurs.</w:t>
      </w:r>
    </w:p>
    <w:p w14:paraId="2DF1FE0F" w14:textId="2978BC6A" w:rsidR="00A13F53" w:rsidRPr="00404751" w:rsidRDefault="00C54126" w:rsidP="00404751">
      <w:pPr>
        <w:spacing w:after="280" w:line="240" w:lineRule="auto"/>
        <w:jc w:val="both"/>
        <w:rPr>
          <w:rFonts w:asciiTheme="minorHAnsi" w:eastAsia="Times New Roman" w:hAnsiTheme="minorHAnsi" w:cstheme="minorHAnsi"/>
          <w:b/>
          <w:color w:val="auto"/>
        </w:rPr>
      </w:pPr>
      <w:r>
        <w:rPr>
          <w:rFonts w:asciiTheme="minorHAnsi" w:eastAsia="Times New Roman" w:hAnsiTheme="minorHAnsi" w:cstheme="minorHAnsi"/>
          <w:b/>
          <w:color w:val="auto"/>
        </w:rPr>
        <w:t>I</w:t>
      </w:r>
      <w:r w:rsidR="00AF060E">
        <w:rPr>
          <w:rFonts w:asciiTheme="minorHAnsi" w:eastAsia="Times New Roman" w:hAnsiTheme="minorHAnsi" w:cstheme="minorHAnsi"/>
          <w:b/>
          <w:color w:val="auto"/>
        </w:rPr>
        <w:t xml:space="preserve">l nous paraît </w:t>
      </w:r>
      <w:r>
        <w:rPr>
          <w:rFonts w:asciiTheme="minorHAnsi" w:eastAsia="Times New Roman" w:hAnsiTheme="minorHAnsi" w:cstheme="minorHAnsi"/>
          <w:b/>
          <w:color w:val="auto"/>
        </w:rPr>
        <w:t xml:space="preserve">alors </w:t>
      </w:r>
      <w:r w:rsidR="00AF060E">
        <w:rPr>
          <w:rFonts w:asciiTheme="minorHAnsi" w:eastAsia="Times New Roman" w:hAnsiTheme="minorHAnsi" w:cstheme="minorHAnsi"/>
          <w:b/>
          <w:color w:val="auto"/>
        </w:rPr>
        <w:t xml:space="preserve">essentiel de rappeler l’importance de </w:t>
      </w:r>
      <w:r w:rsidR="00313DCB" w:rsidRPr="00E12E1E">
        <w:rPr>
          <w:rFonts w:asciiTheme="minorHAnsi" w:eastAsia="Times New Roman" w:hAnsiTheme="minorHAnsi" w:cstheme="minorHAnsi"/>
          <w:b/>
          <w:color w:val="auto"/>
        </w:rPr>
        <w:t>la concertation collective</w:t>
      </w:r>
      <w:r w:rsidR="00A13F53">
        <w:rPr>
          <w:rFonts w:asciiTheme="minorHAnsi" w:eastAsia="Times New Roman" w:hAnsiTheme="minorHAnsi" w:cstheme="minorHAnsi"/>
          <w:b/>
          <w:color w:val="auto"/>
        </w:rPr>
        <w:t xml:space="preserve"> à l’échelle des projets pour répondre aux</w:t>
      </w:r>
      <w:r w:rsidR="00313DCB" w:rsidRPr="00E12E1E">
        <w:rPr>
          <w:rFonts w:asciiTheme="minorHAnsi" w:eastAsia="Times New Roman" w:hAnsiTheme="minorHAnsi" w:cstheme="minorHAnsi"/>
          <w:b/>
          <w:color w:val="auto"/>
        </w:rPr>
        <w:t xml:space="preserve"> spécificités locales</w:t>
      </w:r>
      <w:r w:rsidR="00A13F53">
        <w:rPr>
          <w:rFonts w:asciiTheme="minorHAnsi" w:eastAsia="Times New Roman" w:hAnsiTheme="minorHAnsi" w:cstheme="minorHAnsi"/>
          <w:b/>
          <w:color w:val="auto"/>
        </w:rPr>
        <w:t xml:space="preserve">, </w:t>
      </w:r>
      <w:r w:rsidR="00AF060E">
        <w:rPr>
          <w:rFonts w:asciiTheme="minorHAnsi" w:eastAsia="Times New Roman" w:hAnsiTheme="minorHAnsi" w:cstheme="minorHAnsi"/>
          <w:b/>
          <w:color w:val="auto"/>
        </w:rPr>
        <w:t>mais aussi de soulever la nécessité de</w:t>
      </w:r>
      <w:r w:rsidR="00A13F53">
        <w:rPr>
          <w:rFonts w:asciiTheme="minorHAnsi" w:eastAsia="Times New Roman" w:hAnsiTheme="minorHAnsi" w:cstheme="minorHAnsi"/>
          <w:b/>
          <w:color w:val="auto"/>
        </w:rPr>
        <w:t xml:space="preserve"> la sensibilisation et</w:t>
      </w:r>
      <w:r w:rsidR="00AF060E">
        <w:rPr>
          <w:rFonts w:asciiTheme="minorHAnsi" w:eastAsia="Times New Roman" w:hAnsiTheme="minorHAnsi" w:cstheme="minorHAnsi"/>
          <w:b/>
          <w:color w:val="auto"/>
        </w:rPr>
        <w:t xml:space="preserve"> de</w:t>
      </w:r>
      <w:r w:rsidR="00A13F53">
        <w:rPr>
          <w:rFonts w:asciiTheme="minorHAnsi" w:eastAsia="Times New Roman" w:hAnsiTheme="minorHAnsi" w:cstheme="minorHAnsi"/>
          <w:b/>
          <w:color w:val="auto"/>
        </w:rPr>
        <w:t xml:space="preserve"> l’acculturation des acteurs autour des concepts et enjeux de durabilité forte pour favoriser leur opérationnalisation à travers les démarches d’EIT.</w:t>
      </w:r>
    </w:p>
    <w:p w14:paraId="37AC600A" w14:textId="77777777" w:rsidR="00A13F53" w:rsidRDefault="00A13F53" w:rsidP="00F455BC">
      <w:pPr>
        <w:spacing w:after="0" w:line="240" w:lineRule="auto"/>
        <w:jc w:val="right"/>
        <w:rPr>
          <w:rFonts w:asciiTheme="minorHAnsi" w:eastAsia="Times New Roman" w:hAnsiTheme="minorHAnsi" w:cstheme="minorHAnsi"/>
          <w:color w:val="3171D2"/>
          <w:sz w:val="20"/>
          <w:szCs w:val="24"/>
        </w:rPr>
      </w:pPr>
    </w:p>
    <w:p w14:paraId="438036D1" w14:textId="77777777" w:rsidR="00A13F53" w:rsidRDefault="00A13F53" w:rsidP="00404751">
      <w:pPr>
        <w:spacing w:after="0" w:line="240" w:lineRule="auto"/>
        <w:rPr>
          <w:rFonts w:asciiTheme="minorHAnsi" w:eastAsia="Times New Roman" w:hAnsiTheme="minorHAnsi" w:cstheme="minorHAnsi"/>
          <w:color w:val="3171D2"/>
          <w:sz w:val="20"/>
          <w:szCs w:val="24"/>
        </w:rPr>
      </w:pPr>
    </w:p>
    <w:p w14:paraId="28C3BB75" w14:textId="77777777" w:rsidR="00A13F53" w:rsidRDefault="00A13F53" w:rsidP="00F455BC">
      <w:pPr>
        <w:spacing w:after="0" w:line="240" w:lineRule="auto"/>
        <w:jc w:val="right"/>
        <w:rPr>
          <w:rFonts w:asciiTheme="minorHAnsi" w:eastAsia="Times New Roman" w:hAnsiTheme="minorHAnsi" w:cstheme="minorHAnsi"/>
          <w:color w:val="3171D2"/>
          <w:sz w:val="20"/>
          <w:szCs w:val="24"/>
        </w:rPr>
      </w:pPr>
    </w:p>
    <w:p w14:paraId="13CCEF5B" w14:textId="055B63BF" w:rsidR="00110B82" w:rsidRDefault="00110B82" w:rsidP="00F455BC">
      <w:pPr>
        <w:spacing w:after="0"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Nathalie BOYER, ORÉE</w:t>
      </w:r>
    </w:p>
    <w:p w14:paraId="562985CC" w14:textId="7CFEA98C" w:rsidR="00110B82" w:rsidRPr="00E12E1E" w:rsidRDefault="00110B82" w:rsidP="00F455BC">
      <w:pPr>
        <w:spacing w:after="0" w:line="240" w:lineRule="auto"/>
        <w:jc w:val="right"/>
        <w:rPr>
          <w:rFonts w:asciiTheme="minorHAnsi" w:eastAsia="Times New Roman" w:hAnsiTheme="minorHAnsi" w:cstheme="minorHAnsi"/>
          <w:color w:val="3171D2"/>
          <w:sz w:val="20"/>
          <w:szCs w:val="24"/>
        </w:rPr>
      </w:pPr>
      <w:r w:rsidRPr="00E12E1E">
        <w:rPr>
          <w:rFonts w:asciiTheme="minorHAnsi" w:eastAsia="Times New Roman" w:hAnsiTheme="minorHAnsi" w:cstheme="minorHAnsi"/>
          <w:color w:val="3171D2"/>
          <w:sz w:val="20"/>
          <w:szCs w:val="24"/>
        </w:rPr>
        <w:t xml:space="preserve">Sabrina BRULLOT, </w:t>
      </w:r>
      <w:r w:rsidR="00123CFB" w:rsidRPr="00E12E1E">
        <w:rPr>
          <w:rFonts w:asciiTheme="minorHAnsi" w:eastAsia="Times New Roman" w:hAnsiTheme="minorHAnsi" w:cstheme="minorHAnsi"/>
          <w:color w:val="3171D2"/>
          <w:sz w:val="20"/>
          <w:szCs w:val="24"/>
        </w:rPr>
        <w:t>Université de Technologie de Troyes</w:t>
      </w:r>
    </w:p>
    <w:p w14:paraId="11FED2C1" w14:textId="77777777" w:rsidR="00110B82" w:rsidRDefault="00110B82" w:rsidP="00F455BC">
      <w:pPr>
        <w:spacing w:after="0" w:line="240" w:lineRule="auto"/>
        <w:jc w:val="right"/>
        <w:rPr>
          <w:rFonts w:asciiTheme="minorHAnsi" w:eastAsia="Times New Roman" w:hAnsiTheme="minorHAnsi" w:cstheme="minorHAnsi"/>
          <w:color w:val="3171D2"/>
          <w:sz w:val="20"/>
          <w:szCs w:val="24"/>
        </w:rPr>
      </w:pPr>
      <w:r w:rsidRPr="00E12E1E">
        <w:rPr>
          <w:rFonts w:asciiTheme="minorHAnsi" w:eastAsia="Times New Roman" w:hAnsiTheme="minorHAnsi" w:cstheme="minorHAnsi"/>
          <w:color w:val="3171D2"/>
          <w:sz w:val="20"/>
          <w:szCs w:val="24"/>
        </w:rPr>
        <w:t>Nicolas BUCLET, Université Grenoble Alpes – Laboratoire PACTE</w:t>
      </w:r>
    </w:p>
    <w:p w14:paraId="1C01E4D6" w14:textId="26076EC4" w:rsidR="00123CFB" w:rsidRDefault="00123CFB" w:rsidP="00F455BC">
      <w:pPr>
        <w:spacing w:after="0"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 xml:space="preserve">Camille FRANÇOIS, </w:t>
      </w:r>
      <w:r w:rsidRPr="00E12E1E">
        <w:rPr>
          <w:rFonts w:asciiTheme="minorHAnsi" w:eastAsia="Times New Roman" w:hAnsiTheme="minorHAnsi" w:cstheme="minorHAnsi"/>
          <w:color w:val="3171D2"/>
          <w:sz w:val="20"/>
          <w:szCs w:val="24"/>
        </w:rPr>
        <w:t>Université Grenoble Alpes – Laboratoire PACTE</w:t>
      </w:r>
    </w:p>
    <w:p w14:paraId="314990AE" w14:textId="3D3D8AB2" w:rsidR="00123CFB" w:rsidRDefault="00123CFB" w:rsidP="00F455BC">
      <w:pPr>
        <w:spacing w:after="0"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 xml:space="preserve">Nolwenn GENUIT, </w:t>
      </w:r>
      <w:r w:rsidRPr="00E12E1E">
        <w:rPr>
          <w:rFonts w:asciiTheme="minorHAnsi" w:eastAsia="Times New Roman" w:hAnsiTheme="minorHAnsi" w:cstheme="minorHAnsi"/>
          <w:color w:val="3171D2"/>
          <w:sz w:val="20"/>
          <w:szCs w:val="24"/>
        </w:rPr>
        <w:t>Université de Technologie de Troyes</w:t>
      </w:r>
    </w:p>
    <w:p w14:paraId="48CBA445" w14:textId="008250E0" w:rsidR="00110B82" w:rsidRPr="00E12E1E" w:rsidRDefault="00110B82" w:rsidP="00F455BC">
      <w:pPr>
        <w:spacing w:after="0"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 xml:space="preserve">Julie GOBERT, </w:t>
      </w:r>
      <w:r w:rsidRPr="00E12E1E">
        <w:rPr>
          <w:rFonts w:asciiTheme="minorHAnsi" w:eastAsia="Times New Roman" w:hAnsiTheme="minorHAnsi" w:cstheme="minorHAnsi"/>
          <w:color w:val="3171D2"/>
          <w:sz w:val="20"/>
          <w:szCs w:val="24"/>
        </w:rPr>
        <w:t>Université de Technologie de Troyes</w:t>
      </w:r>
    </w:p>
    <w:p w14:paraId="77E80250" w14:textId="09E24708" w:rsidR="00110B82" w:rsidRPr="00E12E1E" w:rsidRDefault="00110B82" w:rsidP="00F455BC">
      <w:pPr>
        <w:spacing w:after="0" w:line="240" w:lineRule="auto"/>
        <w:jc w:val="right"/>
        <w:rPr>
          <w:rFonts w:asciiTheme="minorHAnsi" w:eastAsia="Times New Roman" w:hAnsiTheme="minorHAnsi" w:cstheme="minorHAnsi"/>
          <w:color w:val="3171D2"/>
          <w:sz w:val="20"/>
          <w:szCs w:val="24"/>
        </w:rPr>
      </w:pPr>
      <w:r w:rsidRPr="00E12E1E">
        <w:rPr>
          <w:rFonts w:asciiTheme="minorHAnsi" w:eastAsia="Times New Roman" w:hAnsiTheme="minorHAnsi" w:cstheme="minorHAnsi"/>
          <w:color w:val="3171D2"/>
          <w:sz w:val="20"/>
          <w:szCs w:val="24"/>
        </w:rPr>
        <w:t>Pauline LAVOISY, OREE</w:t>
      </w:r>
    </w:p>
    <w:p w14:paraId="7DC0D86A" w14:textId="6A3B4DAC" w:rsidR="00110B82" w:rsidRDefault="00110B82" w:rsidP="00F455BC">
      <w:pPr>
        <w:spacing w:after="0" w:line="240" w:lineRule="auto"/>
        <w:jc w:val="right"/>
        <w:rPr>
          <w:rFonts w:asciiTheme="minorHAnsi" w:eastAsia="Times New Roman" w:hAnsiTheme="minorHAnsi" w:cstheme="minorHAnsi"/>
          <w:color w:val="3171D2"/>
          <w:sz w:val="20"/>
          <w:szCs w:val="24"/>
        </w:rPr>
      </w:pPr>
      <w:r w:rsidRPr="00E12E1E">
        <w:rPr>
          <w:rFonts w:asciiTheme="minorHAnsi" w:eastAsia="Times New Roman" w:hAnsiTheme="minorHAnsi" w:cstheme="minorHAnsi"/>
          <w:color w:val="3171D2"/>
          <w:sz w:val="20"/>
          <w:szCs w:val="24"/>
        </w:rPr>
        <w:t>Muriel MAILLEFERT, Université de Lyon - EVS UMR 5600</w:t>
      </w:r>
    </w:p>
    <w:p w14:paraId="001FA05F" w14:textId="6BA1FB8A" w:rsidR="00110B82" w:rsidRDefault="00110B82" w:rsidP="00AF060E">
      <w:pPr>
        <w:spacing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Alice SARRA</w:t>
      </w:r>
      <w:r w:rsidR="00F455BC">
        <w:rPr>
          <w:rFonts w:asciiTheme="minorHAnsi" w:eastAsia="Times New Roman" w:hAnsiTheme="minorHAnsi" w:cstheme="minorHAnsi"/>
          <w:color w:val="3171D2"/>
          <w:sz w:val="20"/>
          <w:szCs w:val="24"/>
        </w:rPr>
        <w:t>N</w:t>
      </w:r>
      <w:r>
        <w:rPr>
          <w:rFonts w:asciiTheme="minorHAnsi" w:eastAsia="Times New Roman" w:hAnsiTheme="minorHAnsi" w:cstheme="minorHAnsi"/>
          <w:color w:val="3171D2"/>
          <w:sz w:val="20"/>
          <w:szCs w:val="24"/>
        </w:rPr>
        <w:t>, ORÉE</w:t>
      </w:r>
    </w:p>
    <w:p w14:paraId="386C7243" w14:textId="2D9238BF" w:rsidR="00AF060E" w:rsidRDefault="00AF060E" w:rsidP="00AF060E">
      <w:pPr>
        <w:spacing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Décembre 2016</w:t>
      </w:r>
    </w:p>
    <w:p w14:paraId="718E1C8E" w14:textId="5C31FC8C" w:rsidR="00AF060E" w:rsidRPr="00E12E1E" w:rsidRDefault="00EB3396" w:rsidP="00F455BC">
      <w:pPr>
        <w:spacing w:after="0" w:line="240" w:lineRule="auto"/>
        <w:jc w:val="right"/>
        <w:rPr>
          <w:rFonts w:asciiTheme="minorHAnsi" w:eastAsia="Times New Roman" w:hAnsiTheme="minorHAnsi" w:cstheme="minorHAnsi"/>
          <w:color w:val="3171D2"/>
          <w:sz w:val="20"/>
          <w:szCs w:val="24"/>
        </w:rPr>
      </w:pPr>
      <w:r>
        <w:rPr>
          <w:rFonts w:asciiTheme="minorHAnsi" w:eastAsia="Times New Roman" w:hAnsiTheme="minorHAnsi" w:cstheme="minorHAnsi"/>
          <w:color w:val="3171D2"/>
          <w:sz w:val="20"/>
          <w:szCs w:val="24"/>
        </w:rPr>
        <w:t>Actualisé en 2022</w:t>
      </w:r>
      <w:bookmarkStart w:id="1" w:name="_GoBack"/>
      <w:bookmarkEnd w:id="1"/>
    </w:p>
    <w:p w14:paraId="55C087E0" w14:textId="77777777" w:rsidR="00110B82" w:rsidRPr="00E12E1E" w:rsidRDefault="00110B82">
      <w:pPr>
        <w:spacing w:after="280" w:line="240" w:lineRule="auto"/>
        <w:jc w:val="both"/>
        <w:rPr>
          <w:rFonts w:asciiTheme="minorHAnsi" w:hAnsiTheme="minorHAnsi" w:cstheme="minorHAnsi"/>
          <w:b/>
          <w:color w:val="auto"/>
        </w:rPr>
      </w:pPr>
    </w:p>
    <w:sectPr w:rsidR="00110B82" w:rsidRPr="00E12E1E" w:rsidSect="00E24D1E">
      <w:headerReference w:type="default" r:id="rId14"/>
      <w:footerReference w:type="default" r:id="rId15"/>
      <w:pgSz w:w="11906" w:h="16838"/>
      <w:pgMar w:top="2236"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DD52" w14:textId="77777777" w:rsidR="00304BD1" w:rsidRDefault="00304BD1">
      <w:pPr>
        <w:spacing w:after="0" w:line="240" w:lineRule="auto"/>
      </w:pPr>
      <w:r>
        <w:separator/>
      </w:r>
    </w:p>
  </w:endnote>
  <w:endnote w:type="continuationSeparator" w:id="0">
    <w:p w14:paraId="4A9239B6" w14:textId="77777777" w:rsidR="00304BD1" w:rsidRDefault="0030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091D" w14:textId="18F30F68" w:rsidR="00D17B68" w:rsidRPr="00D17B68" w:rsidRDefault="00D17B68" w:rsidP="00D17B68">
    <w:pPr>
      <w:pStyle w:val="Pieddepage"/>
      <w:jc w:val="center"/>
    </w:pPr>
    <w:r>
      <w:rPr>
        <w:rFonts w:ascii="Times New Roman" w:eastAsia="Times New Roman" w:hAnsi="Times New Roman" w:cs="Times New Roman"/>
        <w:noProof/>
        <w:sz w:val="24"/>
        <w:szCs w:val="24"/>
      </w:rPr>
      <w:drawing>
        <wp:inline distT="0" distB="0" distL="0" distR="0" wp14:anchorId="6873AE0D" wp14:editId="6472B3D6">
          <wp:extent cx="1294152" cy="684000"/>
          <wp:effectExtent l="0" t="0" r="1270"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_OREE_QUADRI_BLOC_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152" cy="684000"/>
                  </a:xfrm>
                  <a:prstGeom prst="rect">
                    <a:avLst/>
                  </a:prstGeom>
                </pic:spPr>
              </pic:pic>
            </a:graphicData>
          </a:graphic>
        </wp:inline>
      </w:drawing>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0B016B4B" wp14:editId="2E771EB0">
          <wp:extent cx="569608" cy="871067"/>
          <wp:effectExtent l="0" t="0" r="1905"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MR_source_2016-1.jpg"/>
                  <pic:cNvPicPr/>
                </pic:nvPicPr>
                <pic:blipFill>
                  <a:blip r:embed="rId2">
                    <a:extLst>
                      <a:ext uri="{28A0092B-C50C-407E-A947-70E740481C1C}">
                        <a14:useLocalDpi xmlns:a14="http://schemas.microsoft.com/office/drawing/2010/main" val="0"/>
                      </a:ext>
                    </a:extLst>
                  </a:blip>
                  <a:stretch>
                    <a:fillRect/>
                  </a:stretch>
                </pic:blipFill>
                <pic:spPr>
                  <a:xfrm>
                    <a:off x="0" y="0"/>
                    <a:ext cx="576958" cy="882306"/>
                  </a:xfrm>
                  <a:prstGeom prst="rect">
                    <a:avLst/>
                  </a:prstGeom>
                </pic:spPr>
              </pic:pic>
            </a:graphicData>
          </a:graphic>
        </wp:inline>
      </w:drawing>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30447888" wp14:editId="309A2899">
          <wp:extent cx="1391487" cy="534537"/>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TT_newlogo-rvb.png"/>
                  <pic:cNvPicPr/>
                </pic:nvPicPr>
                <pic:blipFill>
                  <a:blip r:embed="rId3">
                    <a:extLst>
                      <a:ext uri="{28A0092B-C50C-407E-A947-70E740481C1C}">
                        <a14:useLocalDpi xmlns:a14="http://schemas.microsoft.com/office/drawing/2010/main" val="0"/>
                      </a:ext>
                    </a:extLst>
                  </a:blip>
                  <a:stretch>
                    <a:fillRect/>
                  </a:stretch>
                </pic:blipFill>
                <pic:spPr>
                  <a:xfrm>
                    <a:off x="0" y="0"/>
                    <a:ext cx="1410031" cy="541661"/>
                  </a:xfrm>
                  <a:prstGeom prst="rect">
                    <a:avLst/>
                  </a:prstGeom>
                </pic:spPr>
              </pic:pic>
            </a:graphicData>
          </a:graphic>
        </wp:inline>
      </w:drawing>
    </w:r>
    <w:r>
      <w:t xml:space="preserve">      </w:t>
    </w:r>
    <w:r>
      <w:rPr>
        <w:rFonts w:ascii="Times New Roman" w:eastAsia="Times New Roman" w:hAnsi="Times New Roman" w:cs="Times New Roman"/>
        <w:noProof/>
        <w:sz w:val="24"/>
        <w:szCs w:val="24"/>
      </w:rPr>
      <w:drawing>
        <wp:inline distT="0" distB="0" distL="0" distR="0" wp14:anchorId="0D9C7A8C" wp14:editId="434B5F32">
          <wp:extent cx="945810" cy="468000"/>
          <wp:effectExtent l="0" t="0" r="6985" b="825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acte_quadr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5810" cy="4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0952" w14:textId="77777777" w:rsidR="00304BD1" w:rsidRDefault="00304BD1">
      <w:pPr>
        <w:spacing w:after="0" w:line="240" w:lineRule="auto"/>
      </w:pPr>
      <w:r>
        <w:separator/>
      </w:r>
    </w:p>
  </w:footnote>
  <w:footnote w:type="continuationSeparator" w:id="0">
    <w:p w14:paraId="05739B12" w14:textId="77777777" w:rsidR="00304BD1" w:rsidRDefault="00304BD1">
      <w:pPr>
        <w:spacing w:after="0" w:line="240" w:lineRule="auto"/>
      </w:pPr>
      <w:r>
        <w:continuationSeparator/>
      </w:r>
    </w:p>
  </w:footnote>
  <w:footnote w:id="1">
    <w:p w14:paraId="55DD0FC4" w14:textId="4B540B4B" w:rsidR="00313DCB" w:rsidRPr="00A966D4" w:rsidRDefault="00313DCB" w:rsidP="00D17B68">
      <w:pPr>
        <w:pStyle w:val="Notedebasdepage"/>
        <w:jc w:val="both"/>
        <w:rPr>
          <w:rFonts w:asciiTheme="minorHAnsi" w:hAnsiTheme="minorHAnsi" w:cstheme="minorHAnsi"/>
        </w:rPr>
      </w:pPr>
      <w:r w:rsidRPr="00A966D4">
        <w:rPr>
          <w:rStyle w:val="Appelnotedebasdep"/>
          <w:rFonts w:asciiTheme="minorHAnsi" w:hAnsiTheme="minorHAnsi" w:cstheme="minorHAnsi"/>
          <w:color w:val="3171D2"/>
        </w:rPr>
        <w:footnoteRef/>
      </w:r>
      <w:r w:rsidRPr="00A966D4">
        <w:rPr>
          <w:rFonts w:asciiTheme="minorHAnsi" w:hAnsiTheme="minorHAnsi" w:cstheme="minorHAnsi"/>
          <w:color w:val="3171D2"/>
        </w:rPr>
        <w:t xml:space="preserve"> </w:t>
      </w:r>
      <w:r w:rsidR="00AA4946">
        <w:rPr>
          <w:rFonts w:asciiTheme="minorHAnsi" w:eastAsia="Times New Roman" w:hAnsiTheme="minorHAnsi" w:cstheme="minorHAnsi"/>
          <w:color w:val="3171D2"/>
        </w:rPr>
        <w:t>La vision de</w:t>
      </w:r>
      <w:r w:rsidRPr="00A966D4">
        <w:rPr>
          <w:rFonts w:asciiTheme="minorHAnsi" w:eastAsia="Times New Roman" w:hAnsiTheme="minorHAnsi" w:cstheme="minorHAnsi"/>
          <w:color w:val="3171D2"/>
        </w:rPr>
        <w:t xml:space="preserve"> la durabilité forte (par opposition à la durabilité faible) recommande de maintenir, et si possible de faire accroître, différents types de capitaux  (naturels et artificiels, c’est-à-dire fabriqués par les êtres humains : physique, humain, intellectuel), ou d'éléments considérés comme critiques de ces capitaux, à commencer par le capital naturel dont les dégradations sont menacées d’irréversibilité. Ces capitaux sont considérés comme non substituables les uns des autres. (</w:t>
      </w:r>
      <w:proofErr w:type="gramStart"/>
      <w:r w:rsidRPr="00A966D4">
        <w:rPr>
          <w:rFonts w:asciiTheme="minorHAnsi" w:eastAsia="Times New Roman" w:hAnsiTheme="minorHAnsi" w:cstheme="minorHAnsi"/>
          <w:color w:val="3171D2"/>
        </w:rPr>
        <w:t>d’après</w:t>
      </w:r>
      <w:proofErr w:type="gramEnd"/>
      <w:r w:rsidRPr="00A966D4">
        <w:rPr>
          <w:rFonts w:asciiTheme="minorHAnsi" w:eastAsia="Times New Roman" w:hAnsiTheme="minorHAnsi" w:cstheme="minorHAnsi"/>
          <w:color w:val="3171D2"/>
        </w:rPr>
        <w:t xml:space="preserve"> </w:t>
      </w:r>
      <w:proofErr w:type="spellStart"/>
      <w:r w:rsidRPr="00A966D4">
        <w:rPr>
          <w:rFonts w:asciiTheme="minorHAnsi" w:eastAsia="Times New Roman" w:hAnsiTheme="minorHAnsi" w:cstheme="minorHAnsi"/>
          <w:color w:val="3171D2"/>
        </w:rPr>
        <w:t>E.Zaccai</w:t>
      </w:r>
      <w:proofErr w:type="spellEnd"/>
      <w:r w:rsidRPr="00A966D4">
        <w:rPr>
          <w:rFonts w:asciiTheme="minorHAnsi" w:eastAsia="Times New Roman" w:hAnsiTheme="minorHAnsi" w:cstheme="minorHAnsi"/>
          <w:color w:val="3171D2"/>
        </w:rPr>
        <w:t xml:space="preserve">, 2011, « 25 ans de développement durable, et après ? », </w:t>
      </w:r>
      <w:r w:rsidRPr="00A966D4">
        <w:rPr>
          <w:rFonts w:asciiTheme="minorHAnsi" w:hAnsiTheme="minorHAnsi" w:cstheme="minorHAnsi"/>
          <w:i/>
          <w:iCs/>
          <w:color w:val="3171D2"/>
        </w:rPr>
        <w:t xml:space="preserve"> Paris, PUF</w:t>
      </w:r>
      <w:r w:rsidRPr="00A966D4">
        <w:rPr>
          <w:rFonts w:asciiTheme="minorHAnsi" w:eastAsia="Times New Roman" w:hAnsiTheme="minorHAnsi" w:cstheme="minorHAnsi"/>
          <w:color w:val="3171D2"/>
        </w:rPr>
        <w:t>).</w:t>
      </w:r>
    </w:p>
  </w:footnote>
  <w:footnote w:id="2">
    <w:p w14:paraId="1D66D804" w14:textId="5B78D409" w:rsidR="00313DCB" w:rsidRPr="00E24D1E" w:rsidRDefault="0061393D" w:rsidP="00313DCB">
      <w:pPr>
        <w:autoSpaceDE w:val="0"/>
        <w:autoSpaceDN w:val="0"/>
        <w:adjustRightInd w:val="0"/>
        <w:spacing w:after="0" w:line="240" w:lineRule="auto"/>
        <w:jc w:val="both"/>
        <w:rPr>
          <w:rFonts w:asciiTheme="minorHAnsi" w:hAnsiTheme="minorHAnsi" w:cstheme="minorHAnsi"/>
          <w:color w:val="3171D2"/>
          <w:sz w:val="20"/>
          <w:szCs w:val="20"/>
        </w:rPr>
      </w:pPr>
      <w:r w:rsidRPr="00E24D1E">
        <w:rPr>
          <w:rStyle w:val="Appelnotedebasdep"/>
          <w:rFonts w:asciiTheme="minorHAnsi" w:hAnsiTheme="minorHAnsi" w:cstheme="minorHAnsi"/>
          <w:color w:val="3171D2"/>
          <w:sz w:val="20"/>
          <w:szCs w:val="20"/>
        </w:rPr>
        <w:footnoteRef/>
      </w:r>
      <w:r w:rsidRPr="00E24D1E">
        <w:rPr>
          <w:rFonts w:asciiTheme="minorHAnsi" w:hAnsiTheme="minorHAnsi" w:cstheme="minorHAnsi"/>
          <w:color w:val="3171D2"/>
          <w:sz w:val="20"/>
          <w:szCs w:val="20"/>
        </w:rPr>
        <w:t xml:space="preserve"> </w:t>
      </w:r>
      <w:r w:rsidR="00313DCB" w:rsidRPr="00E24D1E">
        <w:rPr>
          <w:rFonts w:asciiTheme="minorHAnsi" w:hAnsiTheme="minorHAnsi" w:cstheme="minorHAnsi"/>
          <w:color w:val="3171D2"/>
          <w:sz w:val="20"/>
          <w:szCs w:val="20"/>
        </w:rPr>
        <w:t xml:space="preserve">Theys J., « Le développement durable face à sa crise : un concept menacé, sous-exploité ou dépassé ? », </w:t>
      </w:r>
      <w:r w:rsidR="00313DCB" w:rsidRPr="00E24D1E">
        <w:rPr>
          <w:rFonts w:asciiTheme="minorHAnsi" w:hAnsiTheme="minorHAnsi" w:cstheme="minorHAnsi"/>
          <w:i/>
          <w:iCs/>
          <w:color w:val="3171D2"/>
          <w:sz w:val="20"/>
          <w:szCs w:val="20"/>
        </w:rPr>
        <w:t xml:space="preserve">Développement durable et territoires </w:t>
      </w:r>
      <w:r w:rsidR="00313DCB" w:rsidRPr="00E24D1E">
        <w:rPr>
          <w:rFonts w:asciiTheme="minorHAnsi" w:hAnsiTheme="minorHAnsi" w:cstheme="minorHAnsi"/>
          <w:color w:val="3171D2"/>
          <w:sz w:val="20"/>
          <w:szCs w:val="20"/>
        </w:rPr>
        <w:t>[En ligne], Vol. 5, n°1 | Février 2014, mis en ligne le 04 février 2014, URL : http://developpementdurable.revues.org/10196 ;</w:t>
      </w:r>
    </w:p>
    <w:p w14:paraId="0D79DE1C" w14:textId="77777777" w:rsidR="00313DCB" w:rsidRPr="00E24D1E" w:rsidRDefault="00313DCB" w:rsidP="00313DCB">
      <w:pPr>
        <w:autoSpaceDE w:val="0"/>
        <w:autoSpaceDN w:val="0"/>
        <w:adjustRightInd w:val="0"/>
        <w:spacing w:after="0" w:line="240" w:lineRule="auto"/>
        <w:jc w:val="both"/>
        <w:rPr>
          <w:rFonts w:asciiTheme="minorHAnsi" w:hAnsiTheme="minorHAnsi" w:cstheme="minorHAnsi"/>
          <w:color w:val="3171D2"/>
          <w:sz w:val="20"/>
          <w:szCs w:val="20"/>
        </w:rPr>
      </w:pPr>
      <w:r w:rsidRPr="00E24D1E">
        <w:rPr>
          <w:rFonts w:asciiTheme="minorHAnsi" w:hAnsiTheme="minorHAnsi" w:cstheme="minorHAnsi"/>
          <w:color w:val="3171D2"/>
          <w:sz w:val="20"/>
          <w:szCs w:val="20"/>
        </w:rPr>
        <w:t>DOI : 10.4000/developpementdurable.10196</w:t>
      </w:r>
    </w:p>
    <w:p w14:paraId="7D117488" w14:textId="51606334" w:rsidR="0061393D" w:rsidRDefault="0061393D" w:rsidP="00313DCB">
      <w:pPr>
        <w:pStyle w:val="Notedebasdepage"/>
        <w:jc w:val="both"/>
      </w:pPr>
    </w:p>
  </w:footnote>
  <w:footnote w:id="3">
    <w:p w14:paraId="03A11D9C" w14:textId="7CBA8148" w:rsidR="00E8160A" w:rsidRDefault="00E8160A" w:rsidP="00E8160A">
      <w:pPr>
        <w:autoSpaceDE w:val="0"/>
        <w:autoSpaceDN w:val="0"/>
        <w:adjustRightInd w:val="0"/>
        <w:spacing w:after="0" w:line="240" w:lineRule="auto"/>
        <w:jc w:val="both"/>
      </w:pPr>
      <w:r w:rsidRPr="00E8160A">
        <w:rPr>
          <w:rFonts w:asciiTheme="minorHAnsi" w:hAnsiTheme="minorHAnsi" w:cstheme="minorHAnsi"/>
          <w:color w:val="3171D2"/>
          <w:sz w:val="20"/>
          <w:szCs w:val="20"/>
          <w:vertAlign w:val="superscript"/>
        </w:rPr>
        <w:footnoteRef/>
      </w:r>
      <w:r w:rsidRPr="00E8160A">
        <w:rPr>
          <w:rFonts w:asciiTheme="minorHAnsi" w:hAnsiTheme="minorHAnsi" w:cstheme="minorHAnsi"/>
          <w:color w:val="3171D2"/>
          <w:sz w:val="20"/>
          <w:szCs w:val="20"/>
          <w:vertAlign w:val="superscript"/>
        </w:rPr>
        <w:t xml:space="preserve"> </w:t>
      </w:r>
      <w:r w:rsidRPr="00E8160A">
        <w:rPr>
          <w:rFonts w:asciiTheme="minorHAnsi" w:hAnsiTheme="minorHAnsi" w:cstheme="minorHAnsi"/>
          <w:color w:val="3171D2"/>
          <w:sz w:val="20"/>
          <w:szCs w:val="20"/>
        </w:rPr>
        <w:t>On entend par réversibilité du modèle, sa capacité à revenir à un état de référence dans la situation où les impacts économiques, sociaux et environnementaux d’une action ou d’un évènement ne seraient pas satisfaisants.</w:t>
      </w:r>
    </w:p>
  </w:footnote>
  <w:footnote w:id="4">
    <w:p w14:paraId="248A07FC" w14:textId="1063DF85" w:rsidR="00882764" w:rsidRPr="008922BB" w:rsidRDefault="00313DCB">
      <w:pPr>
        <w:spacing w:after="0" w:line="240" w:lineRule="auto"/>
        <w:rPr>
          <w:rFonts w:asciiTheme="minorHAnsi" w:eastAsia="Times New Roman" w:hAnsiTheme="minorHAnsi" w:cstheme="minorHAnsi"/>
          <w:sz w:val="20"/>
          <w:szCs w:val="20"/>
        </w:rPr>
      </w:pPr>
      <w:r w:rsidRPr="008922BB">
        <w:rPr>
          <w:rFonts w:asciiTheme="minorHAnsi" w:hAnsiTheme="minorHAnsi" w:cstheme="minorHAnsi"/>
          <w:color w:val="3171D2"/>
          <w:sz w:val="20"/>
          <w:szCs w:val="20"/>
          <w:vertAlign w:val="superscript"/>
        </w:rPr>
        <w:footnoteRef/>
      </w:r>
      <w:r w:rsidRPr="008922BB">
        <w:rPr>
          <w:rFonts w:asciiTheme="minorHAnsi" w:hAnsiTheme="minorHAnsi" w:cstheme="minorHAnsi"/>
          <w:color w:val="3171D2"/>
          <w:sz w:val="20"/>
          <w:szCs w:val="20"/>
        </w:rPr>
        <w:t xml:space="preserve"> </w:t>
      </w:r>
      <w:r w:rsidRPr="008922BB">
        <w:rPr>
          <w:rFonts w:asciiTheme="minorHAnsi" w:eastAsia="Times New Roman" w:hAnsiTheme="minorHAnsi" w:cstheme="minorHAnsi"/>
          <w:color w:val="3171D2"/>
          <w:sz w:val="20"/>
          <w:szCs w:val="20"/>
        </w:rPr>
        <w:t xml:space="preserve">Par analogie avec l'économie circulaire authentique de Bourg et </w:t>
      </w:r>
      <w:proofErr w:type="spellStart"/>
      <w:r w:rsidRPr="008922BB">
        <w:rPr>
          <w:rFonts w:asciiTheme="minorHAnsi" w:eastAsia="Times New Roman" w:hAnsiTheme="minorHAnsi" w:cstheme="minorHAnsi"/>
          <w:color w:val="3171D2"/>
          <w:sz w:val="20"/>
          <w:szCs w:val="20"/>
        </w:rPr>
        <w:t>A</w:t>
      </w:r>
      <w:r w:rsidR="0061393D" w:rsidRPr="008922BB">
        <w:rPr>
          <w:rFonts w:asciiTheme="minorHAnsi" w:eastAsia="Times New Roman" w:hAnsiTheme="minorHAnsi" w:cstheme="minorHAnsi"/>
          <w:color w:val="3171D2"/>
          <w:sz w:val="20"/>
          <w:szCs w:val="20"/>
        </w:rPr>
        <w:t>r</w:t>
      </w:r>
      <w:r w:rsidRPr="008922BB">
        <w:rPr>
          <w:rFonts w:asciiTheme="minorHAnsi" w:eastAsia="Times New Roman" w:hAnsiTheme="minorHAnsi" w:cstheme="minorHAnsi"/>
          <w:color w:val="3171D2"/>
          <w:sz w:val="20"/>
          <w:szCs w:val="20"/>
        </w:rPr>
        <w:t>nsperger</w:t>
      </w:r>
      <w:proofErr w:type="spellEnd"/>
      <w:r w:rsidR="0061393D" w:rsidRPr="008922BB">
        <w:rPr>
          <w:rFonts w:asciiTheme="minorHAnsi" w:eastAsia="Times New Roman" w:hAnsiTheme="minorHAnsi" w:cstheme="minorHAnsi"/>
          <w:color w:val="3171D2"/>
          <w:sz w:val="20"/>
          <w:szCs w:val="20"/>
        </w:rPr>
        <w:t xml:space="preserve"> (2016)</w:t>
      </w:r>
      <w:r w:rsidRPr="008922BB">
        <w:rPr>
          <w:rFonts w:asciiTheme="minorHAnsi" w:eastAsia="Times New Roman" w:hAnsiTheme="minorHAnsi" w:cstheme="minorHAnsi"/>
          <w:color w:val="3171D2"/>
          <w:sz w:val="20"/>
          <w:szCs w:val="20"/>
        </w:rPr>
        <w:t>.</w:t>
      </w:r>
      <w:r w:rsidR="0046082E" w:rsidRPr="008922BB">
        <w:rPr>
          <w:rFonts w:asciiTheme="minorHAnsi" w:eastAsia="Times New Roman" w:hAnsiTheme="minorHAnsi" w:cstheme="minorHAnsi"/>
          <w:color w:val="3171D2"/>
          <w:sz w:val="20"/>
          <w:szCs w:val="20"/>
        </w:rPr>
        <w:t xml:space="preserve"> Cf </w:t>
      </w:r>
      <w:proofErr w:type="spellStart"/>
      <w:r w:rsidR="0061393D" w:rsidRPr="008922BB">
        <w:rPr>
          <w:rFonts w:asciiTheme="minorHAnsi" w:eastAsia="Times New Roman" w:hAnsiTheme="minorHAnsi" w:cstheme="minorHAnsi"/>
          <w:color w:val="3171D2"/>
          <w:sz w:val="20"/>
          <w:szCs w:val="20"/>
        </w:rPr>
        <w:t>Arnsperger</w:t>
      </w:r>
      <w:proofErr w:type="spellEnd"/>
      <w:r w:rsidR="0061393D" w:rsidRPr="008922BB">
        <w:rPr>
          <w:rFonts w:asciiTheme="minorHAnsi" w:eastAsia="Times New Roman" w:hAnsiTheme="minorHAnsi" w:cstheme="minorHAnsi"/>
          <w:color w:val="3171D2"/>
          <w:sz w:val="20"/>
          <w:szCs w:val="20"/>
        </w:rPr>
        <w:t xml:space="preserve"> </w:t>
      </w:r>
      <w:proofErr w:type="spellStart"/>
      <w:r w:rsidR="0061393D" w:rsidRPr="008922BB">
        <w:rPr>
          <w:rFonts w:asciiTheme="minorHAnsi" w:eastAsia="Times New Roman" w:hAnsiTheme="minorHAnsi" w:cstheme="minorHAnsi"/>
          <w:color w:val="3171D2"/>
          <w:sz w:val="20"/>
          <w:szCs w:val="20"/>
        </w:rPr>
        <w:t>Ch</w:t>
      </w:r>
      <w:proofErr w:type="spellEnd"/>
      <w:r w:rsidR="0061393D" w:rsidRPr="008922BB">
        <w:rPr>
          <w:rFonts w:asciiTheme="minorHAnsi" w:eastAsia="Times New Roman" w:hAnsiTheme="minorHAnsi" w:cstheme="minorHAnsi"/>
          <w:color w:val="3171D2"/>
          <w:sz w:val="20"/>
          <w:szCs w:val="20"/>
        </w:rPr>
        <w:t>, Bourg D, « Vers une économie authentiquement circulaire. Réflexions sur les fondements d’un indicateur de circularité », Revue de l'OFCE, 1/2016 (N° 145), p. 91-125.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BAF4" w14:textId="34C5C58A" w:rsidR="00D17B68" w:rsidRPr="00D17B68" w:rsidRDefault="00D17B68" w:rsidP="00D17B68">
    <w:pPr>
      <w:pStyle w:val="En-tte"/>
    </w:pPr>
    <w:r>
      <w:rPr>
        <w:rFonts w:ascii="Times New Roman" w:eastAsia="Times New Roman" w:hAnsi="Times New Roman" w:cs="Times New Roman"/>
        <w:b/>
        <w:noProof/>
        <w:color w:val="9900FF"/>
        <w:sz w:val="28"/>
        <w:szCs w:val="28"/>
      </w:rPr>
      <w:drawing>
        <wp:anchor distT="0" distB="0" distL="114300" distR="114300" simplePos="0" relativeHeight="251658240" behindDoc="0" locked="0" layoutInCell="1" allowOverlap="1" wp14:anchorId="220C3118" wp14:editId="6638147A">
          <wp:simplePos x="0" y="0"/>
          <wp:positionH relativeFrom="page">
            <wp:posOffset>-1239189</wp:posOffset>
          </wp:positionH>
          <wp:positionV relativeFrom="paragraph">
            <wp:posOffset>-440690</wp:posOffset>
          </wp:positionV>
          <wp:extent cx="9026215" cy="1900361"/>
          <wp:effectExtent l="0" t="0" r="3810" b="508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6215" cy="19003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06B"/>
    <w:multiLevelType w:val="multilevel"/>
    <w:tmpl w:val="17EADA48"/>
    <w:lvl w:ilvl="0">
      <w:start w:val="1"/>
      <w:numFmt w:val="bullet"/>
      <w:lvlText w:val=""/>
      <w:lvlJc w:val="left"/>
      <w:pPr>
        <w:ind w:left="0" w:firstLine="1080"/>
      </w:pPr>
      <w:rPr>
        <w:rFonts w:ascii="Symbol" w:hAnsi="Symbol" w:hint="default"/>
        <w:color w:val="3171D2"/>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1" w15:restartNumberingAfterBreak="0">
    <w:nsid w:val="01CB7CCC"/>
    <w:multiLevelType w:val="multilevel"/>
    <w:tmpl w:val="DD3C00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5743B1B"/>
    <w:multiLevelType w:val="multilevel"/>
    <w:tmpl w:val="878EF0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9B6448C"/>
    <w:multiLevelType w:val="multilevel"/>
    <w:tmpl w:val="FD9E5F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D4701AB"/>
    <w:multiLevelType w:val="multilevel"/>
    <w:tmpl w:val="385A315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3F351DA2"/>
    <w:multiLevelType w:val="hybridMultilevel"/>
    <w:tmpl w:val="0A90A5AE"/>
    <w:lvl w:ilvl="0" w:tplc="A7E0BD76">
      <w:start w:val="1"/>
      <w:numFmt w:val="bullet"/>
      <w:lvlText w:val=""/>
      <w:lvlJc w:val="left"/>
      <w:pPr>
        <w:tabs>
          <w:tab w:val="num" w:pos="720"/>
        </w:tabs>
        <w:ind w:left="720" w:hanging="360"/>
      </w:pPr>
      <w:rPr>
        <w:rFonts w:ascii="Wingdings" w:hAnsi="Wingdings" w:hint="default"/>
      </w:rPr>
    </w:lvl>
    <w:lvl w:ilvl="1" w:tplc="DFDE0742" w:tentative="1">
      <w:start w:val="1"/>
      <w:numFmt w:val="bullet"/>
      <w:lvlText w:val=""/>
      <w:lvlJc w:val="left"/>
      <w:pPr>
        <w:tabs>
          <w:tab w:val="num" w:pos="1440"/>
        </w:tabs>
        <w:ind w:left="1440" w:hanging="360"/>
      </w:pPr>
      <w:rPr>
        <w:rFonts w:ascii="Wingdings" w:hAnsi="Wingdings" w:hint="default"/>
      </w:rPr>
    </w:lvl>
    <w:lvl w:ilvl="2" w:tplc="B1661658" w:tentative="1">
      <w:start w:val="1"/>
      <w:numFmt w:val="bullet"/>
      <w:lvlText w:val=""/>
      <w:lvlJc w:val="left"/>
      <w:pPr>
        <w:tabs>
          <w:tab w:val="num" w:pos="2160"/>
        </w:tabs>
        <w:ind w:left="2160" w:hanging="360"/>
      </w:pPr>
      <w:rPr>
        <w:rFonts w:ascii="Wingdings" w:hAnsi="Wingdings" w:hint="default"/>
      </w:rPr>
    </w:lvl>
    <w:lvl w:ilvl="3" w:tplc="B49097F0" w:tentative="1">
      <w:start w:val="1"/>
      <w:numFmt w:val="bullet"/>
      <w:lvlText w:val=""/>
      <w:lvlJc w:val="left"/>
      <w:pPr>
        <w:tabs>
          <w:tab w:val="num" w:pos="2880"/>
        </w:tabs>
        <w:ind w:left="2880" w:hanging="360"/>
      </w:pPr>
      <w:rPr>
        <w:rFonts w:ascii="Wingdings" w:hAnsi="Wingdings" w:hint="default"/>
      </w:rPr>
    </w:lvl>
    <w:lvl w:ilvl="4" w:tplc="598CDD80" w:tentative="1">
      <w:start w:val="1"/>
      <w:numFmt w:val="bullet"/>
      <w:lvlText w:val=""/>
      <w:lvlJc w:val="left"/>
      <w:pPr>
        <w:tabs>
          <w:tab w:val="num" w:pos="3600"/>
        </w:tabs>
        <w:ind w:left="3600" w:hanging="360"/>
      </w:pPr>
      <w:rPr>
        <w:rFonts w:ascii="Wingdings" w:hAnsi="Wingdings" w:hint="default"/>
      </w:rPr>
    </w:lvl>
    <w:lvl w:ilvl="5" w:tplc="FF667818" w:tentative="1">
      <w:start w:val="1"/>
      <w:numFmt w:val="bullet"/>
      <w:lvlText w:val=""/>
      <w:lvlJc w:val="left"/>
      <w:pPr>
        <w:tabs>
          <w:tab w:val="num" w:pos="4320"/>
        </w:tabs>
        <w:ind w:left="4320" w:hanging="360"/>
      </w:pPr>
      <w:rPr>
        <w:rFonts w:ascii="Wingdings" w:hAnsi="Wingdings" w:hint="default"/>
      </w:rPr>
    </w:lvl>
    <w:lvl w:ilvl="6" w:tplc="A10A8780" w:tentative="1">
      <w:start w:val="1"/>
      <w:numFmt w:val="bullet"/>
      <w:lvlText w:val=""/>
      <w:lvlJc w:val="left"/>
      <w:pPr>
        <w:tabs>
          <w:tab w:val="num" w:pos="5040"/>
        </w:tabs>
        <w:ind w:left="5040" w:hanging="360"/>
      </w:pPr>
      <w:rPr>
        <w:rFonts w:ascii="Wingdings" w:hAnsi="Wingdings" w:hint="default"/>
      </w:rPr>
    </w:lvl>
    <w:lvl w:ilvl="7" w:tplc="AFF4A5C4" w:tentative="1">
      <w:start w:val="1"/>
      <w:numFmt w:val="bullet"/>
      <w:lvlText w:val=""/>
      <w:lvlJc w:val="left"/>
      <w:pPr>
        <w:tabs>
          <w:tab w:val="num" w:pos="5760"/>
        </w:tabs>
        <w:ind w:left="5760" w:hanging="360"/>
      </w:pPr>
      <w:rPr>
        <w:rFonts w:ascii="Wingdings" w:hAnsi="Wingdings" w:hint="default"/>
      </w:rPr>
    </w:lvl>
    <w:lvl w:ilvl="8" w:tplc="C9C05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A851EE"/>
    <w:multiLevelType w:val="hybridMultilevel"/>
    <w:tmpl w:val="A54A8EF0"/>
    <w:lvl w:ilvl="0" w:tplc="FFAAA87C">
      <w:start w:val="1"/>
      <w:numFmt w:val="upperRoman"/>
      <w:lvlText w:val="%1."/>
      <w:lvlJc w:val="right"/>
      <w:pPr>
        <w:ind w:left="767" w:hanging="360"/>
      </w:pPr>
      <w:rPr>
        <w:b/>
        <w:color w:val="FFFFFF" w:themeColor="background1"/>
      </w:rPr>
    </w:lvl>
    <w:lvl w:ilvl="1" w:tplc="040C0019" w:tentative="1">
      <w:start w:val="1"/>
      <w:numFmt w:val="lowerLetter"/>
      <w:lvlText w:val="%2."/>
      <w:lvlJc w:val="left"/>
      <w:pPr>
        <w:ind w:left="1487" w:hanging="360"/>
      </w:pPr>
    </w:lvl>
    <w:lvl w:ilvl="2" w:tplc="040C001B" w:tentative="1">
      <w:start w:val="1"/>
      <w:numFmt w:val="lowerRoman"/>
      <w:lvlText w:val="%3."/>
      <w:lvlJc w:val="right"/>
      <w:pPr>
        <w:ind w:left="2207" w:hanging="180"/>
      </w:pPr>
    </w:lvl>
    <w:lvl w:ilvl="3" w:tplc="040C000F" w:tentative="1">
      <w:start w:val="1"/>
      <w:numFmt w:val="decimal"/>
      <w:lvlText w:val="%4."/>
      <w:lvlJc w:val="left"/>
      <w:pPr>
        <w:ind w:left="2927" w:hanging="360"/>
      </w:pPr>
    </w:lvl>
    <w:lvl w:ilvl="4" w:tplc="040C0019" w:tentative="1">
      <w:start w:val="1"/>
      <w:numFmt w:val="lowerLetter"/>
      <w:lvlText w:val="%5."/>
      <w:lvlJc w:val="left"/>
      <w:pPr>
        <w:ind w:left="3647" w:hanging="360"/>
      </w:pPr>
    </w:lvl>
    <w:lvl w:ilvl="5" w:tplc="040C001B" w:tentative="1">
      <w:start w:val="1"/>
      <w:numFmt w:val="lowerRoman"/>
      <w:lvlText w:val="%6."/>
      <w:lvlJc w:val="right"/>
      <w:pPr>
        <w:ind w:left="4367" w:hanging="180"/>
      </w:pPr>
    </w:lvl>
    <w:lvl w:ilvl="6" w:tplc="040C000F" w:tentative="1">
      <w:start w:val="1"/>
      <w:numFmt w:val="decimal"/>
      <w:lvlText w:val="%7."/>
      <w:lvlJc w:val="left"/>
      <w:pPr>
        <w:ind w:left="5087" w:hanging="360"/>
      </w:pPr>
    </w:lvl>
    <w:lvl w:ilvl="7" w:tplc="040C0019" w:tentative="1">
      <w:start w:val="1"/>
      <w:numFmt w:val="lowerLetter"/>
      <w:lvlText w:val="%8."/>
      <w:lvlJc w:val="left"/>
      <w:pPr>
        <w:ind w:left="5807" w:hanging="360"/>
      </w:pPr>
    </w:lvl>
    <w:lvl w:ilvl="8" w:tplc="040C001B" w:tentative="1">
      <w:start w:val="1"/>
      <w:numFmt w:val="lowerRoman"/>
      <w:lvlText w:val="%9."/>
      <w:lvlJc w:val="right"/>
      <w:pPr>
        <w:ind w:left="6527" w:hanging="180"/>
      </w:pPr>
    </w:lvl>
  </w:abstractNum>
  <w:abstractNum w:abstractNumId="7" w15:restartNumberingAfterBreak="0">
    <w:nsid w:val="5C742127"/>
    <w:multiLevelType w:val="multilevel"/>
    <w:tmpl w:val="FE1884F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61791BED"/>
    <w:multiLevelType w:val="multilevel"/>
    <w:tmpl w:val="F536AD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6B3A64F5"/>
    <w:multiLevelType w:val="hybridMultilevel"/>
    <w:tmpl w:val="7988B3B0"/>
    <w:lvl w:ilvl="0" w:tplc="1846B640">
      <w:start w:val="1"/>
      <w:numFmt w:val="upperRoman"/>
      <w:lvlText w:val="%1."/>
      <w:lvlJc w:val="right"/>
      <w:pPr>
        <w:ind w:left="767" w:hanging="360"/>
      </w:pPr>
      <w:rPr>
        <w:b w:val="0"/>
        <w:color w:val="FFFFFF" w:themeColor="background1"/>
      </w:rPr>
    </w:lvl>
    <w:lvl w:ilvl="1" w:tplc="040C0019" w:tentative="1">
      <w:start w:val="1"/>
      <w:numFmt w:val="lowerLetter"/>
      <w:lvlText w:val="%2."/>
      <w:lvlJc w:val="left"/>
      <w:pPr>
        <w:ind w:left="1487" w:hanging="360"/>
      </w:pPr>
    </w:lvl>
    <w:lvl w:ilvl="2" w:tplc="040C001B" w:tentative="1">
      <w:start w:val="1"/>
      <w:numFmt w:val="lowerRoman"/>
      <w:lvlText w:val="%3."/>
      <w:lvlJc w:val="right"/>
      <w:pPr>
        <w:ind w:left="2207" w:hanging="180"/>
      </w:pPr>
    </w:lvl>
    <w:lvl w:ilvl="3" w:tplc="040C000F" w:tentative="1">
      <w:start w:val="1"/>
      <w:numFmt w:val="decimal"/>
      <w:lvlText w:val="%4."/>
      <w:lvlJc w:val="left"/>
      <w:pPr>
        <w:ind w:left="2927" w:hanging="360"/>
      </w:pPr>
    </w:lvl>
    <w:lvl w:ilvl="4" w:tplc="040C0019" w:tentative="1">
      <w:start w:val="1"/>
      <w:numFmt w:val="lowerLetter"/>
      <w:lvlText w:val="%5."/>
      <w:lvlJc w:val="left"/>
      <w:pPr>
        <w:ind w:left="3647" w:hanging="360"/>
      </w:pPr>
    </w:lvl>
    <w:lvl w:ilvl="5" w:tplc="040C001B" w:tentative="1">
      <w:start w:val="1"/>
      <w:numFmt w:val="lowerRoman"/>
      <w:lvlText w:val="%6."/>
      <w:lvlJc w:val="right"/>
      <w:pPr>
        <w:ind w:left="4367" w:hanging="180"/>
      </w:pPr>
    </w:lvl>
    <w:lvl w:ilvl="6" w:tplc="040C000F" w:tentative="1">
      <w:start w:val="1"/>
      <w:numFmt w:val="decimal"/>
      <w:lvlText w:val="%7."/>
      <w:lvlJc w:val="left"/>
      <w:pPr>
        <w:ind w:left="5087" w:hanging="360"/>
      </w:pPr>
    </w:lvl>
    <w:lvl w:ilvl="7" w:tplc="040C0019" w:tentative="1">
      <w:start w:val="1"/>
      <w:numFmt w:val="lowerLetter"/>
      <w:lvlText w:val="%8."/>
      <w:lvlJc w:val="left"/>
      <w:pPr>
        <w:ind w:left="5807" w:hanging="360"/>
      </w:pPr>
    </w:lvl>
    <w:lvl w:ilvl="8" w:tplc="040C001B" w:tentative="1">
      <w:start w:val="1"/>
      <w:numFmt w:val="lowerRoman"/>
      <w:lvlText w:val="%9."/>
      <w:lvlJc w:val="right"/>
      <w:pPr>
        <w:ind w:left="6527" w:hanging="180"/>
      </w:pPr>
    </w:lvl>
  </w:abstractNum>
  <w:abstractNum w:abstractNumId="10" w15:restartNumberingAfterBreak="0">
    <w:nsid w:val="73B10D33"/>
    <w:multiLevelType w:val="multilevel"/>
    <w:tmpl w:val="F97229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4"/>
  </w:num>
  <w:num w:numId="2">
    <w:abstractNumId w:val="10"/>
  </w:num>
  <w:num w:numId="3">
    <w:abstractNumId w:val="7"/>
  </w:num>
  <w:num w:numId="4">
    <w:abstractNumId w:val="2"/>
  </w:num>
  <w:num w:numId="5">
    <w:abstractNumId w:val="8"/>
  </w:num>
  <w:num w:numId="6">
    <w:abstractNumId w:val="1"/>
  </w:num>
  <w:num w:numId="7">
    <w:abstractNumId w:val="3"/>
  </w:num>
  <w:num w:numId="8">
    <w:abstractNumId w:val="9"/>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64"/>
    <w:rsid w:val="000F6D22"/>
    <w:rsid w:val="00103F32"/>
    <w:rsid w:val="00110B82"/>
    <w:rsid w:val="001214B3"/>
    <w:rsid w:val="00123CFB"/>
    <w:rsid w:val="0015328C"/>
    <w:rsid w:val="00160446"/>
    <w:rsid w:val="00197B2B"/>
    <w:rsid w:val="001E182D"/>
    <w:rsid w:val="0023637F"/>
    <w:rsid w:val="002707BC"/>
    <w:rsid w:val="00271A11"/>
    <w:rsid w:val="002E6117"/>
    <w:rsid w:val="002F0C23"/>
    <w:rsid w:val="00304BD1"/>
    <w:rsid w:val="00313DCB"/>
    <w:rsid w:val="00404751"/>
    <w:rsid w:val="0046082E"/>
    <w:rsid w:val="004C38A4"/>
    <w:rsid w:val="004D5BF5"/>
    <w:rsid w:val="00505DAF"/>
    <w:rsid w:val="0052248F"/>
    <w:rsid w:val="005842CA"/>
    <w:rsid w:val="00601819"/>
    <w:rsid w:val="00607453"/>
    <w:rsid w:val="0061393D"/>
    <w:rsid w:val="00636613"/>
    <w:rsid w:val="006B43CB"/>
    <w:rsid w:val="006B43F9"/>
    <w:rsid w:val="006F68CC"/>
    <w:rsid w:val="00703376"/>
    <w:rsid w:val="00787F89"/>
    <w:rsid w:val="007E1E61"/>
    <w:rsid w:val="007F7FFC"/>
    <w:rsid w:val="008732EF"/>
    <w:rsid w:val="00873771"/>
    <w:rsid w:val="00882764"/>
    <w:rsid w:val="008922BB"/>
    <w:rsid w:val="009C26C0"/>
    <w:rsid w:val="00A13F53"/>
    <w:rsid w:val="00A3630F"/>
    <w:rsid w:val="00A45256"/>
    <w:rsid w:val="00A966D4"/>
    <w:rsid w:val="00AA4946"/>
    <w:rsid w:val="00AB4F6A"/>
    <w:rsid w:val="00AC1569"/>
    <w:rsid w:val="00AF060E"/>
    <w:rsid w:val="00B27912"/>
    <w:rsid w:val="00BB3A3F"/>
    <w:rsid w:val="00C3416B"/>
    <w:rsid w:val="00C42E01"/>
    <w:rsid w:val="00C54126"/>
    <w:rsid w:val="00CC1C45"/>
    <w:rsid w:val="00D06357"/>
    <w:rsid w:val="00D17B68"/>
    <w:rsid w:val="00D2523C"/>
    <w:rsid w:val="00D9280B"/>
    <w:rsid w:val="00DD23CE"/>
    <w:rsid w:val="00E12E1E"/>
    <w:rsid w:val="00E24D1E"/>
    <w:rsid w:val="00E578F5"/>
    <w:rsid w:val="00E8160A"/>
    <w:rsid w:val="00EA695C"/>
    <w:rsid w:val="00EB3396"/>
    <w:rsid w:val="00EF6457"/>
    <w:rsid w:val="00F069B4"/>
    <w:rsid w:val="00F455BC"/>
    <w:rsid w:val="00F97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8254D"/>
  <w15:docId w15:val="{3C27D6B0-0B6B-45C3-BAAD-9D0AE7C9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Pr>
  </w:style>
  <w:style w:type="table" w:customStyle="1" w:styleId="a0">
    <w:basedOn w:val="TableNormal"/>
    <w:pPr>
      <w:contextualSpacing/>
    </w:pPr>
    <w:tblPr>
      <w:tblStyleRowBandSize w:val="1"/>
      <w:tblStyleColBandSize w:val="1"/>
    </w:tblPr>
  </w:style>
  <w:style w:type="table" w:customStyle="1" w:styleId="a1">
    <w:basedOn w:val="TableNormal"/>
    <w:pPr>
      <w:contextualSpacing/>
    </w:pPr>
    <w:tblPr>
      <w:tblStyleRowBandSize w:val="1"/>
      <w:tblStyleColBandSize w:val="1"/>
    </w:tblPr>
  </w:style>
  <w:style w:type="character" w:styleId="Marquedecommentaire">
    <w:name w:val="annotation reference"/>
    <w:basedOn w:val="Policepardfaut"/>
    <w:uiPriority w:val="99"/>
    <w:semiHidden/>
    <w:unhideWhenUsed/>
    <w:rsid w:val="00636613"/>
    <w:rPr>
      <w:sz w:val="16"/>
      <w:szCs w:val="16"/>
    </w:rPr>
  </w:style>
  <w:style w:type="paragraph" w:styleId="Commentaire">
    <w:name w:val="annotation text"/>
    <w:basedOn w:val="Normal"/>
    <w:link w:val="CommentaireCar"/>
    <w:uiPriority w:val="99"/>
    <w:semiHidden/>
    <w:unhideWhenUsed/>
    <w:rsid w:val="00636613"/>
    <w:pPr>
      <w:spacing w:line="240" w:lineRule="auto"/>
    </w:pPr>
    <w:rPr>
      <w:sz w:val="20"/>
      <w:szCs w:val="20"/>
    </w:rPr>
  </w:style>
  <w:style w:type="character" w:customStyle="1" w:styleId="CommentaireCar">
    <w:name w:val="Commentaire Car"/>
    <w:basedOn w:val="Policepardfaut"/>
    <w:link w:val="Commentaire"/>
    <w:uiPriority w:val="99"/>
    <w:semiHidden/>
    <w:rsid w:val="00636613"/>
    <w:rPr>
      <w:sz w:val="20"/>
      <w:szCs w:val="20"/>
    </w:rPr>
  </w:style>
  <w:style w:type="paragraph" w:styleId="Objetducommentaire">
    <w:name w:val="annotation subject"/>
    <w:basedOn w:val="Commentaire"/>
    <w:next w:val="Commentaire"/>
    <w:link w:val="ObjetducommentaireCar"/>
    <w:uiPriority w:val="99"/>
    <w:semiHidden/>
    <w:unhideWhenUsed/>
    <w:rsid w:val="00636613"/>
    <w:rPr>
      <w:b/>
      <w:bCs/>
    </w:rPr>
  </w:style>
  <w:style w:type="character" w:customStyle="1" w:styleId="ObjetducommentaireCar">
    <w:name w:val="Objet du commentaire Car"/>
    <w:basedOn w:val="CommentaireCar"/>
    <w:link w:val="Objetducommentaire"/>
    <w:uiPriority w:val="99"/>
    <w:semiHidden/>
    <w:rsid w:val="00636613"/>
    <w:rPr>
      <w:b/>
      <w:bCs/>
      <w:sz w:val="20"/>
      <w:szCs w:val="20"/>
    </w:rPr>
  </w:style>
  <w:style w:type="paragraph" w:styleId="Textedebulles">
    <w:name w:val="Balloon Text"/>
    <w:basedOn w:val="Normal"/>
    <w:link w:val="TextedebullesCar"/>
    <w:uiPriority w:val="99"/>
    <w:semiHidden/>
    <w:unhideWhenUsed/>
    <w:rsid w:val="006366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6613"/>
    <w:rPr>
      <w:rFonts w:ascii="Segoe UI" w:hAnsi="Segoe UI" w:cs="Segoe UI"/>
      <w:sz w:val="18"/>
      <w:szCs w:val="18"/>
    </w:rPr>
  </w:style>
  <w:style w:type="character" w:styleId="Accentuation">
    <w:name w:val="Emphasis"/>
    <w:basedOn w:val="Policepardfaut"/>
    <w:uiPriority w:val="20"/>
    <w:qFormat/>
    <w:rsid w:val="0061393D"/>
    <w:rPr>
      <w:i/>
      <w:iCs/>
    </w:rPr>
  </w:style>
  <w:style w:type="character" w:customStyle="1" w:styleId="uppercase">
    <w:name w:val="uppercase"/>
    <w:basedOn w:val="Policepardfaut"/>
    <w:rsid w:val="0061393D"/>
  </w:style>
  <w:style w:type="paragraph" w:styleId="Notedebasdepage">
    <w:name w:val="footnote text"/>
    <w:basedOn w:val="Normal"/>
    <w:link w:val="NotedebasdepageCar"/>
    <w:uiPriority w:val="99"/>
    <w:semiHidden/>
    <w:unhideWhenUsed/>
    <w:rsid w:val="006139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393D"/>
    <w:rPr>
      <w:sz w:val="20"/>
      <w:szCs w:val="20"/>
    </w:rPr>
  </w:style>
  <w:style w:type="character" w:styleId="Appelnotedebasdep">
    <w:name w:val="footnote reference"/>
    <w:basedOn w:val="Policepardfaut"/>
    <w:uiPriority w:val="99"/>
    <w:semiHidden/>
    <w:unhideWhenUsed/>
    <w:rsid w:val="0061393D"/>
    <w:rPr>
      <w:vertAlign w:val="superscript"/>
    </w:rPr>
  </w:style>
  <w:style w:type="paragraph" w:styleId="En-tte">
    <w:name w:val="header"/>
    <w:basedOn w:val="Normal"/>
    <w:link w:val="En-tteCar"/>
    <w:uiPriority w:val="99"/>
    <w:unhideWhenUsed/>
    <w:rsid w:val="00D17B68"/>
    <w:pPr>
      <w:tabs>
        <w:tab w:val="center" w:pos="4536"/>
        <w:tab w:val="right" w:pos="9072"/>
      </w:tabs>
      <w:spacing w:after="0" w:line="240" w:lineRule="auto"/>
    </w:pPr>
  </w:style>
  <w:style w:type="character" w:customStyle="1" w:styleId="En-tteCar">
    <w:name w:val="En-tête Car"/>
    <w:basedOn w:val="Policepardfaut"/>
    <w:link w:val="En-tte"/>
    <w:uiPriority w:val="99"/>
    <w:rsid w:val="00D17B68"/>
  </w:style>
  <w:style w:type="paragraph" w:styleId="Pieddepage">
    <w:name w:val="footer"/>
    <w:basedOn w:val="Normal"/>
    <w:link w:val="PieddepageCar"/>
    <w:uiPriority w:val="99"/>
    <w:unhideWhenUsed/>
    <w:rsid w:val="00D17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B68"/>
  </w:style>
  <w:style w:type="paragraph" w:styleId="Paragraphedeliste">
    <w:name w:val="List Paragraph"/>
    <w:basedOn w:val="Normal"/>
    <w:uiPriority w:val="34"/>
    <w:qFormat/>
    <w:rsid w:val="00E24D1E"/>
    <w:pPr>
      <w:ind w:left="720"/>
      <w:contextualSpacing/>
    </w:pPr>
  </w:style>
  <w:style w:type="table" w:styleId="Grilledutableau">
    <w:name w:val="Table Grid"/>
    <w:basedOn w:val="TableauNormal"/>
    <w:uiPriority w:val="39"/>
    <w:rsid w:val="00C4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76208">
      <w:bodyDiv w:val="1"/>
      <w:marLeft w:val="0"/>
      <w:marRight w:val="0"/>
      <w:marTop w:val="0"/>
      <w:marBottom w:val="0"/>
      <w:divBdr>
        <w:top w:val="none" w:sz="0" w:space="0" w:color="auto"/>
        <w:left w:val="none" w:sz="0" w:space="0" w:color="auto"/>
        <w:bottom w:val="none" w:sz="0" w:space="0" w:color="auto"/>
        <w:right w:val="none" w:sz="0" w:space="0" w:color="auto"/>
      </w:divBdr>
      <w:divsChild>
        <w:div w:id="1334795290">
          <w:marLeft w:val="446"/>
          <w:marRight w:val="0"/>
          <w:marTop w:val="0"/>
          <w:marBottom w:val="0"/>
          <w:divBdr>
            <w:top w:val="none" w:sz="0" w:space="0" w:color="auto"/>
            <w:left w:val="none" w:sz="0" w:space="0" w:color="auto"/>
            <w:bottom w:val="none" w:sz="0" w:space="0" w:color="auto"/>
            <w:right w:val="none" w:sz="0" w:space="0" w:color="auto"/>
          </w:divBdr>
        </w:div>
        <w:div w:id="2030832570">
          <w:marLeft w:val="446"/>
          <w:marRight w:val="0"/>
          <w:marTop w:val="0"/>
          <w:marBottom w:val="0"/>
          <w:divBdr>
            <w:top w:val="none" w:sz="0" w:space="0" w:color="auto"/>
            <w:left w:val="none" w:sz="0" w:space="0" w:color="auto"/>
            <w:bottom w:val="none" w:sz="0" w:space="0" w:color="auto"/>
            <w:right w:val="none" w:sz="0" w:space="0" w:color="auto"/>
          </w:divBdr>
        </w:div>
        <w:div w:id="116224239">
          <w:marLeft w:val="446"/>
          <w:marRight w:val="0"/>
          <w:marTop w:val="0"/>
          <w:marBottom w:val="0"/>
          <w:divBdr>
            <w:top w:val="none" w:sz="0" w:space="0" w:color="auto"/>
            <w:left w:val="none" w:sz="0" w:space="0" w:color="auto"/>
            <w:bottom w:val="none" w:sz="0" w:space="0" w:color="auto"/>
            <w:right w:val="none" w:sz="0" w:space="0" w:color="auto"/>
          </w:divBdr>
        </w:div>
        <w:div w:id="1361935253">
          <w:marLeft w:val="446"/>
          <w:marRight w:val="0"/>
          <w:marTop w:val="0"/>
          <w:marBottom w:val="0"/>
          <w:divBdr>
            <w:top w:val="none" w:sz="0" w:space="0" w:color="auto"/>
            <w:left w:val="none" w:sz="0" w:space="0" w:color="auto"/>
            <w:bottom w:val="none" w:sz="0" w:space="0" w:color="auto"/>
            <w:right w:val="none" w:sz="0" w:space="0" w:color="auto"/>
          </w:divBdr>
        </w:div>
        <w:div w:id="45221156">
          <w:marLeft w:val="446"/>
          <w:marRight w:val="0"/>
          <w:marTop w:val="0"/>
          <w:marBottom w:val="0"/>
          <w:divBdr>
            <w:top w:val="none" w:sz="0" w:space="0" w:color="auto"/>
            <w:left w:val="none" w:sz="0" w:space="0" w:color="auto"/>
            <w:bottom w:val="none" w:sz="0" w:space="0" w:color="auto"/>
            <w:right w:val="none" w:sz="0" w:space="0" w:color="auto"/>
          </w:divBdr>
        </w:div>
        <w:div w:id="873032379">
          <w:marLeft w:val="446"/>
          <w:marRight w:val="0"/>
          <w:marTop w:val="0"/>
          <w:marBottom w:val="0"/>
          <w:divBdr>
            <w:top w:val="none" w:sz="0" w:space="0" w:color="auto"/>
            <w:left w:val="none" w:sz="0" w:space="0" w:color="auto"/>
            <w:bottom w:val="none" w:sz="0" w:space="0" w:color="auto"/>
            <w:right w:val="none" w:sz="0" w:space="0" w:color="auto"/>
          </w:divBdr>
        </w:div>
        <w:div w:id="57405040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g"/><Relationship Id="rId1" Type="http://schemas.openxmlformats.org/officeDocument/2006/relationships/image" Target="media/image8.jpeg"/><Relationship Id="rId4"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F3CA-931D-46DB-9CFB-C44676B7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3057</Words>
  <Characters>16818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dc:creator>
  <cp:lastModifiedBy>Stevan Vellet</cp:lastModifiedBy>
  <cp:revision>6</cp:revision>
  <cp:lastPrinted>2016-12-13T15:14:00Z</cp:lastPrinted>
  <dcterms:created xsi:type="dcterms:W3CDTF">2016-12-14T05:34:00Z</dcterms:created>
  <dcterms:modified xsi:type="dcterms:W3CDTF">2022-08-09T12:03:00Z</dcterms:modified>
</cp:coreProperties>
</file>